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4FBB9" w14:textId="370C8659" w:rsidR="001709C3" w:rsidRPr="00FB0E4F" w:rsidRDefault="00C43CC0" w:rsidP="00FB0E4F">
      <w:pPr>
        <w:rPr>
          <w:rFonts w:ascii="Arial" w:hAnsi="Arial" w:cs="Arial"/>
          <w:b/>
          <w:bCs/>
          <w:i/>
          <w:iCs/>
          <w:sz w:val="22"/>
          <w:szCs w:val="22"/>
        </w:rPr>
      </w:pPr>
      <w:r w:rsidRPr="00FB0E4F">
        <w:rPr>
          <w:rFonts w:ascii="Arial" w:hAnsi="Arial" w:cs="Arial"/>
          <w:sz w:val="22"/>
          <w:szCs w:val="22"/>
        </w:rPr>
        <w:t xml:space="preserve"> </w:t>
      </w:r>
    </w:p>
    <w:p w14:paraId="0A05766F" w14:textId="77777777" w:rsidR="00FB461E" w:rsidRDefault="00FB461E" w:rsidP="002556F8">
      <w:pPr>
        <w:widowControl w:val="0"/>
        <w:autoSpaceDE w:val="0"/>
        <w:autoSpaceDN w:val="0"/>
        <w:adjustRightInd w:val="0"/>
        <w:ind w:right="-36"/>
        <w:rPr>
          <w:sz w:val="22"/>
          <w:szCs w:val="22"/>
        </w:rPr>
      </w:pPr>
    </w:p>
    <w:p w14:paraId="252C8CB5" w14:textId="77777777" w:rsidR="00FB461E" w:rsidRDefault="00FB461E" w:rsidP="002556F8">
      <w:pPr>
        <w:widowControl w:val="0"/>
        <w:autoSpaceDE w:val="0"/>
        <w:autoSpaceDN w:val="0"/>
        <w:adjustRightInd w:val="0"/>
        <w:ind w:right="-36"/>
        <w:rPr>
          <w:sz w:val="22"/>
          <w:szCs w:val="22"/>
        </w:rPr>
      </w:pPr>
    </w:p>
    <w:p w14:paraId="6CD2D276" w14:textId="77777777" w:rsidR="00FB461E" w:rsidRPr="00053881" w:rsidRDefault="00FB461E" w:rsidP="00053881">
      <w:pPr>
        <w:widowControl w:val="0"/>
        <w:autoSpaceDE w:val="0"/>
        <w:autoSpaceDN w:val="0"/>
        <w:adjustRightInd w:val="0"/>
        <w:ind w:right="-36"/>
        <w:jc w:val="both"/>
        <w:rPr>
          <w:rFonts w:ascii="Arial" w:hAnsi="Arial" w:cs="Arial"/>
          <w:sz w:val="22"/>
          <w:szCs w:val="22"/>
        </w:rPr>
      </w:pPr>
    </w:p>
    <w:p w14:paraId="43D1BC79" w14:textId="6B5ED5E5" w:rsidR="00CE3EA9" w:rsidRDefault="00CE3EA9" w:rsidP="00167099">
      <w:pPr>
        <w:jc w:val="both"/>
        <w:rPr>
          <w:rFonts w:ascii="Arial" w:hAnsi="Arial" w:cs="Arial"/>
          <w:b/>
          <w:bCs/>
          <w:sz w:val="22"/>
          <w:szCs w:val="22"/>
        </w:rPr>
      </w:pPr>
      <w:r w:rsidRPr="00167099">
        <w:rPr>
          <w:rFonts w:ascii="Arial" w:hAnsi="Arial" w:cs="Arial"/>
          <w:b/>
          <w:bCs/>
          <w:sz w:val="22"/>
          <w:szCs w:val="22"/>
        </w:rPr>
        <w:t>RESOLUTION NO.</w:t>
      </w:r>
      <w:r w:rsidR="00AF4ADE" w:rsidRPr="00167099">
        <w:rPr>
          <w:rFonts w:ascii="Arial" w:hAnsi="Arial" w:cs="Arial"/>
          <w:b/>
          <w:bCs/>
          <w:sz w:val="22"/>
          <w:szCs w:val="22"/>
        </w:rPr>
        <w:t xml:space="preserve"> </w:t>
      </w:r>
      <w:r w:rsidR="009F3B03">
        <w:rPr>
          <w:rFonts w:ascii="Arial" w:hAnsi="Arial" w:cs="Arial"/>
          <w:b/>
          <w:bCs/>
          <w:sz w:val="22"/>
          <w:szCs w:val="22"/>
        </w:rPr>
        <w:t>036</w:t>
      </w:r>
      <w:r w:rsidR="00AF4ADE" w:rsidRPr="00167099">
        <w:rPr>
          <w:rFonts w:ascii="Arial" w:hAnsi="Arial" w:cs="Arial"/>
          <w:b/>
          <w:bCs/>
          <w:sz w:val="22"/>
          <w:szCs w:val="22"/>
        </w:rPr>
        <w:t>-2022</w:t>
      </w:r>
      <w:r w:rsidRPr="00167099">
        <w:rPr>
          <w:rFonts w:ascii="Arial" w:hAnsi="Arial" w:cs="Arial"/>
          <w:b/>
          <w:bCs/>
          <w:sz w:val="22"/>
          <w:szCs w:val="22"/>
        </w:rPr>
        <w:t xml:space="preserve">– EXTENSION OF CONTRACT FOR INVESTMENT MANAGEMENT SERVICES – WILMINGTON TRUST ADVISORS, INC. </w:t>
      </w:r>
    </w:p>
    <w:p w14:paraId="3040AFD9" w14:textId="77777777" w:rsidR="009F3B03" w:rsidRDefault="009F3B03" w:rsidP="00167099">
      <w:pPr>
        <w:jc w:val="both"/>
        <w:rPr>
          <w:rFonts w:ascii="Arial" w:hAnsi="Arial" w:cs="Arial"/>
          <w:b/>
          <w:bCs/>
          <w:sz w:val="22"/>
          <w:szCs w:val="22"/>
        </w:rPr>
      </w:pPr>
    </w:p>
    <w:p w14:paraId="11BE6159" w14:textId="77777777" w:rsidR="00167099" w:rsidRPr="00167099" w:rsidRDefault="00167099" w:rsidP="00167099">
      <w:pPr>
        <w:jc w:val="both"/>
        <w:rPr>
          <w:rFonts w:ascii="Arial" w:hAnsi="Arial" w:cs="Arial"/>
          <w:b/>
          <w:bCs/>
          <w:sz w:val="22"/>
          <w:szCs w:val="22"/>
        </w:rPr>
      </w:pPr>
    </w:p>
    <w:p w14:paraId="6038403A" w14:textId="420A1030" w:rsidR="00CE3EA9" w:rsidRPr="009F3B03" w:rsidRDefault="009F3B03" w:rsidP="009F3B03">
      <w:pPr>
        <w:pStyle w:val="BodyText"/>
        <w:spacing w:before="3"/>
        <w:ind w:left="119" w:firstLine="720"/>
        <w:rPr>
          <w:rFonts w:ascii="Arial" w:hAnsi="Arial" w:cs="Arial"/>
          <w:b/>
          <w:sz w:val="22"/>
          <w:szCs w:val="22"/>
        </w:rPr>
      </w:pPr>
      <w:r w:rsidRPr="009F3B03">
        <w:rPr>
          <w:rFonts w:ascii="Arial" w:hAnsi="Arial" w:cs="Arial"/>
          <w:sz w:val="22"/>
          <w:szCs w:val="22"/>
        </w:rPr>
        <w:t>MOVED by M</w:t>
      </w:r>
      <w:r>
        <w:rPr>
          <w:rFonts w:ascii="Arial" w:hAnsi="Arial" w:cs="Arial"/>
          <w:sz w:val="22"/>
          <w:szCs w:val="22"/>
        </w:rPr>
        <w:t>r. Mutchler</w:t>
      </w:r>
      <w:r w:rsidRPr="009F3B03">
        <w:rPr>
          <w:rFonts w:ascii="Arial" w:hAnsi="Arial" w:cs="Arial"/>
          <w:sz w:val="22"/>
          <w:szCs w:val="22"/>
        </w:rPr>
        <w:t>, seconded by M</w:t>
      </w:r>
      <w:r>
        <w:rPr>
          <w:rFonts w:ascii="Arial" w:hAnsi="Arial" w:cs="Arial"/>
          <w:sz w:val="22"/>
          <w:szCs w:val="22"/>
        </w:rPr>
        <w:t xml:space="preserve">s. </w:t>
      </w:r>
      <w:proofErr w:type="spellStart"/>
      <w:r>
        <w:rPr>
          <w:rFonts w:ascii="Arial" w:hAnsi="Arial" w:cs="Arial"/>
          <w:sz w:val="22"/>
          <w:szCs w:val="22"/>
        </w:rPr>
        <w:t>DeVoe</w:t>
      </w:r>
      <w:proofErr w:type="spellEnd"/>
      <w:r w:rsidRPr="009F3B03">
        <w:rPr>
          <w:rFonts w:ascii="Arial" w:hAnsi="Arial" w:cs="Arial"/>
          <w:sz w:val="22"/>
          <w:szCs w:val="22"/>
        </w:rPr>
        <w:t>. T</w:t>
      </w:r>
      <w:r w:rsidRPr="009F3B03">
        <w:rPr>
          <w:rFonts w:ascii="Arial" w:eastAsia="PMingLiU" w:hAnsi="Arial" w:cs="Arial"/>
          <w:sz w:val="22"/>
          <w:szCs w:val="22"/>
        </w:rPr>
        <w:t>he resolution was unanimously adopted by voice vote of members present, visibly seen members via remote Satellite locations, and locations due to extraordinary circumstances</w:t>
      </w:r>
      <w:r w:rsidRPr="009F3B03">
        <w:rPr>
          <w:rFonts w:ascii="Arial" w:hAnsi="Arial" w:cs="Arial"/>
          <w:bCs/>
          <w:sz w:val="22"/>
          <w:szCs w:val="22"/>
        </w:rPr>
        <w:t>.</w:t>
      </w:r>
    </w:p>
    <w:p w14:paraId="473DE995" w14:textId="77777777" w:rsidR="009F3B03" w:rsidRDefault="009F3B03" w:rsidP="009F3B03">
      <w:pPr>
        <w:jc w:val="both"/>
        <w:rPr>
          <w:rFonts w:ascii="Arial" w:hAnsi="Arial" w:cs="Arial"/>
          <w:sz w:val="22"/>
          <w:szCs w:val="22"/>
        </w:rPr>
      </w:pPr>
    </w:p>
    <w:p w14:paraId="6904DBD7" w14:textId="5078D987" w:rsidR="00CE3EA9" w:rsidRPr="00167099" w:rsidRDefault="00CE3EA9" w:rsidP="00167099">
      <w:pPr>
        <w:ind w:firstLine="720"/>
        <w:jc w:val="both"/>
        <w:rPr>
          <w:rFonts w:ascii="Arial" w:hAnsi="Arial" w:cs="Arial"/>
          <w:sz w:val="22"/>
          <w:szCs w:val="22"/>
        </w:rPr>
      </w:pPr>
      <w:r w:rsidRPr="00167099">
        <w:rPr>
          <w:rFonts w:ascii="Arial" w:hAnsi="Arial" w:cs="Arial"/>
          <w:sz w:val="22"/>
          <w:szCs w:val="22"/>
        </w:rPr>
        <w:t xml:space="preserve">WHEREAS, the Consortium secures services from Wilmington Trust Advisors, Inc. for investment management services as it pertains to our Investment Management Policy pursuant to Resolution No. 16 of 2020 and wishes to extend its contractual relationship into 2023, and </w:t>
      </w:r>
    </w:p>
    <w:p w14:paraId="7A72C116" w14:textId="77777777" w:rsidR="00CE3EA9" w:rsidRPr="00167099" w:rsidRDefault="00CE3EA9" w:rsidP="00167099">
      <w:pPr>
        <w:jc w:val="both"/>
        <w:rPr>
          <w:rFonts w:ascii="Arial" w:hAnsi="Arial" w:cs="Arial"/>
          <w:sz w:val="22"/>
          <w:szCs w:val="22"/>
        </w:rPr>
      </w:pPr>
    </w:p>
    <w:p w14:paraId="1F665E1C" w14:textId="5F73D2CB" w:rsidR="00CE3EA9" w:rsidRPr="00167099" w:rsidRDefault="00CE3EA9" w:rsidP="00167099">
      <w:pPr>
        <w:ind w:firstLine="720"/>
        <w:jc w:val="both"/>
        <w:rPr>
          <w:rFonts w:ascii="Arial" w:hAnsi="Arial" w:cs="Arial"/>
          <w:sz w:val="22"/>
          <w:szCs w:val="22"/>
        </w:rPr>
      </w:pPr>
      <w:proofErr w:type="gramStart"/>
      <w:r w:rsidRPr="00167099">
        <w:rPr>
          <w:rFonts w:ascii="Arial" w:hAnsi="Arial" w:cs="Arial"/>
          <w:sz w:val="22"/>
          <w:szCs w:val="22"/>
        </w:rPr>
        <w:t>WHEREAS,</w:t>
      </w:r>
      <w:proofErr w:type="gramEnd"/>
      <w:r w:rsidRPr="00167099">
        <w:rPr>
          <w:rFonts w:ascii="Arial" w:hAnsi="Arial" w:cs="Arial"/>
          <w:sz w:val="22"/>
          <w:szCs w:val="22"/>
        </w:rPr>
        <w:t xml:space="preserve"> the Consortium directed the Finance Manager to commence an Investment Management Request for Proposal (RFP) in 2023 to determine options available to assist in managing our reserves and unencumbered fund balance</w:t>
      </w:r>
      <w:r w:rsidR="003942DE" w:rsidRPr="00167099">
        <w:rPr>
          <w:rFonts w:ascii="Arial" w:hAnsi="Arial" w:cs="Arial"/>
          <w:sz w:val="22"/>
          <w:szCs w:val="22"/>
        </w:rPr>
        <w:t xml:space="preserve">, and </w:t>
      </w:r>
    </w:p>
    <w:p w14:paraId="3535080D" w14:textId="77777777" w:rsidR="00CE3EA9" w:rsidRPr="00167099" w:rsidRDefault="00CE3EA9" w:rsidP="00167099">
      <w:pPr>
        <w:jc w:val="both"/>
        <w:rPr>
          <w:rFonts w:ascii="Arial" w:hAnsi="Arial" w:cs="Arial"/>
          <w:sz w:val="22"/>
          <w:szCs w:val="22"/>
        </w:rPr>
      </w:pPr>
    </w:p>
    <w:p w14:paraId="4E82B72F" w14:textId="6242C354" w:rsidR="00CE3EA9" w:rsidRPr="008E670C" w:rsidRDefault="00CE3EA9" w:rsidP="00167099">
      <w:pPr>
        <w:ind w:firstLine="720"/>
        <w:jc w:val="both"/>
        <w:rPr>
          <w:rFonts w:ascii="Arial" w:hAnsi="Arial" w:cs="Arial"/>
          <w:sz w:val="22"/>
          <w:szCs w:val="22"/>
        </w:rPr>
      </w:pPr>
      <w:r w:rsidRPr="008E670C">
        <w:rPr>
          <w:rFonts w:ascii="Arial" w:hAnsi="Arial" w:cs="Arial"/>
          <w:sz w:val="22"/>
          <w:szCs w:val="22"/>
        </w:rPr>
        <w:t xml:space="preserve">WHEREAS, the Board of Directors approved a new Investment Policy Statement </w:t>
      </w:r>
      <w:r w:rsidRPr="008809CF">
        <w:rPr>
          <w:rFonts w:ascii="Arial" w:hAnsi="Arial" w:cs="Arial"/>
          <w:sz w:val="22"/>
          <w:szCs w:val="22"/>
        </w:rPr>
        <w:t>(</w:t>
      </w:r>
      <w:hyperlink r:id="rId8" w:history="1">
        <w:r w:rsidR="008E670C" w:rsidRPr="008809CF">
          <w:rPr>
            <w:rStyle w:val="Hyperlink"/>
            <w:rFonts w:ascii="Arial" w:hAnsi="Arial" w:cs="Arial"/>
            <w:color w:val="3D5C5C"/>
            <w:spacing w:val="6"/>
            <w:sz w:val="22"/>
            <w:szCs w:val="22"/>
            <w:bdr w:val="none" w:sz="0" w:space="0" w:color="auto" w:frame="1"/>
            <w:shd w:val="clear" w:color="auto" w:fill="FFFFFF"/>
          </w:rPr>
          <w:t>Resolution No. 017-2022</w:t>
        </w:r>
      </w:hyperlink>
      <w:r w:rsidRPr="008809CF">
        <w:rPr>
          <w:rFonts w:ascii="Arial" w:hAnsi="Arial" w:cs="Arial"/>
          <w:sz w:val="22"/>
          <w:szCs w:val="22"/>
        </w:rPr>
        <w:t>)</w:t>
      </w:r>
      <w:r w:rsidR="008809CF">
        <w:rPr>
          <w:rFonts w:ascii="Arial" w:hAnsi="Arial" w:cs="Arial"/>
          <w:sz w:val="22"/>
          <w:szCs w:val="22"/>
        </w:rPr>
        <w:t xml:space="preserve"> in September 2022</w:t>
      </w:r>
      <w:r w:rsidRPr="008809CF">
        <w:rPr>
          <w:rFonts w:ascii="Arial" w:hAnsi="Arial" w:cs="Arial"/>
          <w:sz w:val="22"/>
          <w:szCs w:val="22"/>
        </w:rPr>
        <w:t xml:space="preserve"> and postponed the RFP until 2023 to allow Wilmington Trust to garner</w:t>
      </w:r>
      <w:r w:rsidRPr="008E670C">
        <w:rPr>
          <w:rFonts w:ascii="Arial" w:hAnsi="Arial" w:cs="Arial"/>
          <w:sz w:val="22"/>
          <w:szCs w:val="22"/>
        </w:rPr>
        <w:t xml:space="preserve"> any new investment options available under the policy</w:t>
      </w:r>
      <w:r w:rsidR="00167099" w:rsidRPr="008E670C">
        <w:rPr>
          <w:rFonts w:ascii="Arial" w:hAnsi="Arial" w:cs="Arial"/>
          <w:sz w:val="22"/>
          <w:szCs w:val="22"/>
        </w:rPr>
        <w:t xml:space="preserve">, </w:t>
      </w:r>
      <w:r w:rsidR="006E38D1" w:rsidRPr="008E670C">
        <w:rPr>
          <w:rFonts w:ascii="Arial" w:hAnsi="Arial" w:cs="Arial"/>
          <w:sz w:val="22"/>
          <w:szCs w:val="22"/>
        </w:rPr>
        <w:t>therefore now be it</w:t>
      </w:r>
      <w:r w:rsidR="00167099" w:rsidRPr="008E670C">
        <w:rPr>
          <w:rFonts w:ascii="Arial" w:hAnsi="Arial" w:cs="Arial"/>
          <w:sz w:val="22"/>
          <w:szCs w:val="22"/>
        </w:rPr>
        <w:t xml:space="preserve"> </w:t>
      </w:r>
    </w:p>
    <w:p w14:paraId="07BA6576" w14:textId="77777777" w:rsidR="00CE3EA9" w:rsidRPr="00167099" w:rsidRDefault="00CE3EA9" w:rsidP="00167099">
      <w:pPr>
        <w:jc w:val="both"/>
        <w:rPr>
          <w:rFonts w:ascii="Arial" w:hAnsi="Arial" w:cs="Arial"/>
          <w:sz w:val="22"/>
          <w:szCs w:val="22"/>
        </w:rPr>
      </w:pPr>
    </w:p>
    <w:p w14:paraId="14D31C1D" w14:textId="1DD1DBFC" w:rsidR="00CE3EA9" w:rsidRDefault="00CE3EA9" w:rsidP="00167099">
      <w:pPr>
        <w:ind w:firstLine="720"/>
        <w:jc w:val="both"/>
        <w:rPr>
          <w:rFonts w:ascii="Arial" w:hAnsi="Arial" w:cs="Arial"/>
          <w:sz w:val="22"/>
          <w:szCs w:val="22"/>
        </w:rPr>
      </w:pPr>
      <w:r w:rsidRPr="00167099">
        <w:rPr>
          <w:rFonts w:ascii="Arial" w:hAnsi="Arial" w:cs="Arial"/>
          <w:sz w:val="22"/>
          <w:szCs w:val="22"/>
        </w:rPr>
        <w:t xml:space="preserve">RESOLVED, on recommendation of the Audit and Finance Committee, That the Executive Committee, on behalf of the Board of Directors, authorizes the Consortium to extend its contract with Wilmington Trust Advisors, Inc. (WTIA) for investment management services beginning January 1, </w:t>
      </w:r>
      <w:proofErr w:type="gramStart"/>
      <w:r w:rsidRPr="00167099">
        <w:rPr>
          <w:rFonts w:ascii="Arial" w:hAnsi="Arial" w:cs="Arial"/>
          <w:sz w:val="22"/>
          <w:szCs w:val="22"/>
        </w:rPr>
        <w:t>2023</w:t>
      </w:r>
      <w:proofErr w:type="gramEnd"/>
      <w:r w:rsidRPr="00167099">
        <w:rPr>
          <w:rFonts w:ascii="Arial" w:hAnsi="Arial" w:cs="Arial"/>
          <w:sz w:val="22"/>
          <w:szCs w:val="22"/>
        </w:rPr>
        <w:t xml:space="preserve"> through the conclusion of the RFP process and/or selection of a new Investment Manager.</w:t>
      </w:r>
    </w:p>
    <w:p w14:paraId="16F120A1" w14:textId="3B7D6EF2" w:rsidR="00B8030C" w:rsidRDefault="00B8030C" w:rsidP="00B8030C">
      <w:pPr>
        <w:ind w:firstLine="720"/>
        <w:jc w:val="center"/>
        <w:rPr>
          <w:rFonts w:ascii="Arial" w:hAnsi="Arial" w:cs="Arial"/>
          <w:sz w:val="22"/>
          <w:szCs w:val="22"/>
        </w:rPr>
      </w:pPr>
    </w:p>
    <w:p w14:paraId="56160511" w14:textId="74EB6916" w:rsidR="00B8030C" w:rsidRPr="00167099" w:rsidRDefault="00B8030C" w:rsidP="008809CF">
      <w:pPr>
        <w:ind w:left="3600" w:firstLine="720"/>
        <w:rPr>
          <w:rFonts w:ascii="Arial" w:hAnsi="Arial" w:cs="Arial"/>
          <w:sz w:val="22"/>
          <w:szCs w:val="22"/>
        </w:rPr>
      </w:pPr>
      <w:r>
        <w:rPr>
          <w:rFonts w:ascii="Arial" w:hAnsi="Arial" w:cs="Arial"/>
          <w:sz w:val="22"/>
          <w:szCs w:val="22"/>
        </w:rPr>
        <w:t>***********</w:t>
      </w:r>
    </w:p>
    <w:p w14:paraId="36327ACB" w14:textId="780CDD21" w:rsidR="00FB461E" w:rsidRPr="00167099" w:rsidRDefault="00FB461E" w:rsidP="00167099">
      <w:pPr>
        <w:widowControl w:val="0"/>
        <w:tabs>
          <w:tab w:val="left" w:pos="2160"/>
        </w:tabs>
        <w:autoSpaceDE w:val="0"/>
        <w:autoSpaceDN w:val="0"/>
        <w:adjustRightInd w:val="0"/>
        <w:ind w:right="-36"/>
        <w:jc w:val="both"/>
        <w:rPr>
          <w:rFonts w:ascii="Arial" w:eastAsia="Arial" w:hAnsi="Arial" w:cs="Arial"/>
          <w:color w:val="000000"/>
          <w:sz w:val="22"/>
          <w:szCs w:val="22"/>
        </w:rPr>
      </w:pPr>
    </w:p>
    <w:p w14:paraId="296EC12E" w14:textId="77777777" w:rsidR="00FB461E" w:rsidRPr="00167099" w:rsidRDefault="00FB461E" w:rsidP="00167099">
      <w:pPr>
        <w:jc w:val="both"/>
        <w:rPr>
          <w:rFonts w:ascii="Arial" w:hAnsi="Arial" w:cs="Arial"/>
          <w:sz w:val="22"/>
          <w:szCs w:val="22"/>
        </w:rPr>
      </w:pPr>
    </w:p>
    <w:p w14:paraId="4B588D45" w14:textId="77777777" w:rsidR="009F3B03" w:rsidRPr="00FB0E4F" w:rsidRDefault="009F3B03" w:rsidP="009F3B03">
      <w:pPr>
        <w:pStyle w:val="BodyText"/>
        <w:tabs>
          <w:tab w:val="left" w:pos="360"/>
        </w:tabs>
        <w:ind w:right="-36"/>
        <w:rPr>
          <w:bCs/>
        </w:rPr>
      </w:pPr>
      <w:bookmarkStart w:id="1" w:name="_Hlk121496919"/>
      <w:r w:rsidRPr="00FB0E4F">
        <w:t xml:space="preserve">GTCMHIC             </w:t>
      </w:r>
      <w:r w:rsidRPr="00FB0E4F">
        <w:tab/>
        <w:t xml:space="preserve">                  </w:t>
      </w:r>
      <w:proofErr w:type="gramStart"/>
      <w:r w:rsidRPr="00FB0E4F">
        <w:t xml:space="preserve">  )</w:t>
      </w:r>
      <w:proofErr w:type="gramEnd"/>
      <w:r w:rsidRPr="00FB0E4F">
        <w:t xml:space="preserve"> ss:</w:t>
      </w:r>
      <w:r w:rsidRPr="00FB0E4F">
        <w:rPr>
          <w:noProof/>
        </w:rPr>
        <w:t xml:space="preserve"> </w:t>
      </w:r>
      <w:r w:rsidRPr="00FB0E4F">
        <w:rPr>
          <w:noProof/>
        </w:rPr>
        <w:br/>
      </w:r>
      <w:r w:rsidRPr="00FB0E4F">
        <w:rPr>
          <w:bCs/>
        </w:rPr>
        <w:t>COUNTY OF TOMPKINS )</w:t>
      </w:r>
    </w:p>
    <w:p w14:paraId="1F306077" w14:textId="77777777" w:rsidR="009F3B03" w:rsidRPr="00FB0E4F" w:rsidRDefault="009F3B03" w:rsidP="009F3B03">
      <w:pPr>
        <w:pStyle w:val="Default"/>
        <w:ind w:right="-36"/>
        <w:rPr>
          <w:sz w:val="22"/>
          <w:szCs w:val="22"/>
        </w:rPr>
      </w:pPr>
      <w:r w:rsidRPr="00FB0E4F">
        <w:rPr>
          <w:sz w:val="22"/>
          <w:szCs w:val="22"/>
        </w:rPr>
        <w:t xml:space="preserve">STATE OF NEW YORK   </w:t>
      </w:r>
      <w:proofErr w:type="gramStart"/>
      <w:r w:rsidRPr="00FB0E4F">
        <w:rPr>
          <w:sz w:val="22"/>
          <w:szCs w:val="22"/>
        </w:rPr>
        <w:t xml:space="preserve">  )</w:t>
      </w:r>
      <w:proofErr w:type="gramEnd"/>
      <w:r w:rsidRPr="00FB0E4F">
        <w:rPr>
          <w:sz w:val="22"/>
          <w:szCs w:val="22"/>
        </w:rPr>
        <w:softHyphen/>
      </w:r>
    </w:p>
    <w:p w14:paraId="1DF18B40" w14:textId="77777777" w:rsidR="009F3B03" w:rsidRPr="00FB0E4F" w:rsidRDefault="009F3B03" w:rsidP="009F3B03">
      <w:pPr>
        <w:ind w:right="-36"/>
        <w:jc w:val="both"/>
        <w:rPr>
          <w:bCs/>
        </w:rPr>
      </w:pPr>
    </w:p>
    <w:p w14:paraId="5677DDCE" w14:textId="77777777" w:rsidR="009F3B03" w:rsidRPr="00D366B6" w:rsidRDefault="009F3B03" w:rsidP="009F3B03">
      <w:pPr>
        <w:ind w:right="-36"/>
        <w:jc w:val="both"/>
        <w:rPr>
          <w:bCs/>
        </w:rPr>
      </w:pPr>
      <w:r w:rsidRPr="00FB0E4F">
        <w:rPr>
          <w:bCs/>
        </w:rPr>
        <w:tab/>
        <w:t>I hereby certify that the foregoing is a true and correct transcript of a resolution adopted by the Greater Tompkins County Municipal Health Insurance Consortium Executive Committee on</w:t>
      </w:r>
      <w:r>
        <w:rPr>
          <w:bCs/>
        </w:rPr>
        <w:t xml:space="preserve"> behalf of the Board of Directors on</w:t>
      </w:r>
      <w:r w:rsidRPr="00FB0E4F">
        <w:rPr>
          <w:bCs/>
        </w:rPr>
        <w:t xml:space="preserve"> </w:t>
      </w:r>
      <w:r>
        <w:rPr>
          <w:bCs/>
        </w:rPr>
        <w:t>December 7</w:t>
      </w:r>
      <w:r w:rsidRPr="00FB0E4F">
        <w:rPr>
          <w:bCs/>
        </w:rPr>
        <w:t>, 2022.</w:t>
      </w:r>
    </w:p>
    <w:p w14:paraId="4F851395" w14:textId="77777777" w:rsidR="009F3B03" w:rsidRPr="008316A6" w:rsidRDefault="009F3B03" w:rsidP="009F3B03">
      <w:r>
        <w:rPr>
          <w:noProof/>
        </w:rPr>
        <w:drawing>
          <wp:anchor distT="0" distB="0" distL="114300" distR="114300" simplePos="0" relativeHeight="251659264" behindDoc="1" locked="0" layoutInCell="1" allowOverlap="1" wp14:anchorId="246D270F" wp14:editId="0A802439">
            <wp:simplePos x="0" y="0"/>
            <wp:positionH relativeFrom="column">
              <wp:posOffset>2509520</wp:posOffset>
            </wp:positionH>
            <wp:positionV relativeFrom="paragraph">
              <wp:posOffset>105410</wp:posOffset>
            </wp:positionV>
            <wp:extent cx="3346450" cy="746760"/>
            <wp:effectExtent l="0" t="0" r="6350" b="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46450" cy="746760"/>
                    </a:xfrm>
                    <a:prstGeom prst="rect">
                      <a:avLst/>
                    </a:prstGeom>
                  </pic:spPr>
                </pic:pic>
              </a:graphicData>
            </a:graphic>
          </wp:anchor>
        </w:drawing>
      </w:r>
    </w:p>
    <w:p w14:paraId="3F4D1C9C" w14:textId="77777777" w:rsidR="009F3B03" w:rsidRPr="008316A6" w:rsidRDefault="009F3B03" w:rsidP="009F3B03"/>
    <w:p w14:paraId="0C4F7294" w14:textId="77777777" w:rsidR="009F3B03" w:rsidRPr="008316A6" w:rsidRDefault="009F3B03" w:rsidP="009F3B03"/>
    <w:p w14:paraId="5EEB4C70" w14:textId="77777777" w:rsidR="009F3B03" w:rsidRDefault="009F3B03" w:rsidP="009F3B03">
      <w:pPr>
        <w:rPr>
          <w:noProof/>
        </w:rPr>
      </w:pPr>
    </w:p>
    <w:p w14:paraId="03E05921" w14:textId="77777777" w:rsidR="009F3B03" w:rsidRDefault="009F3B03" w:rsidP="009F3B03">
      <w:pPr>
        <w:rPr>
          <w:noProof/>
        </w:rPr>
      </w:pPr>
      <w:r>
        <w:rPr>
          <w:noProof/>
        </w:rPr>
        <w:tab/>
      </w:r>
      <w:r>
        <w:rPr>
          <w:noProof/>
        </w:rPr>
        <w:tab/>
      </w:r>
      <w:r>
        <w:rPr>
          <w:noProof/>
        </w:rPr>
        <w:tab/>
      </w:r>
      <w:r>
        <w:rPr>
          <w:noProof/>
        </w:rPr>
        <w:tab/>
      </w:r>
      <w:r>
        <w:rPr>
          <w:noProof/>
        </w:rPr>
        <w:tab/>
      </w:r>
      <w:r>
        <w:rPr>
          <w:noProof/>
        </w:rPr>
        <w:tab/>
        <w:t>______________________________________</w:t>
      </w:r>
    </w:p>
    <w:p w14:paraId="50C804CE" w14:textId="77777777" w:rsidR="009F3B03" w:rsidRPr="004F16F8" w:rsidRDefault="009F3B03" w:rsidP="009F3B03">
      <w:pPr>
        <w:tabs>
          <w:tab w:val="left" w:pos="4410"/>
        </w:tabs>
        <w:rPr>
          <w:i/>
          <w:iCs/>
        </w:rPr>
      </w:pPr>
      <w:r>
        <w:tab/>
      </w:r>
      <w:r w:rsidRPr="008316A6">
        <w:rPr>
          <w:i/>
          <w:iCs/>
        </w:rPr>
        <w:t>Lynne Sheldon, Clerk of the GTCMHIC Board</w:t>
      </w:r>
      <w:bookmarkEnd w:id="1"/>
    </w:p>
    <w:p w14:paraId="208C2B9C" w14:textId="29015CC4" w:rsidR="00FB461E" w:rsidRPr="00167099" w:rsidRDefault="00FB461E" w:rsidP="00167099">
      <w:pPr>
        <w:widowControl w:val="0"/>
        <w:autoSpaceDE w:val="0"/>
        <w:autoSpaceDN w:val="0"/>
        <w:adjustRightInd w:val="0"/>
        <w:ind w:right="-36"/>
        <w:jc w:val="both"/>
        <w:rPr>
          <w:rFonts w:ascii="Arial" w:eastAsia="Arial" w:hAnsi="Arial" w:cs="Arial"/>
          <w:color w:val="000000"/>
          <w:sz w:val="22"/>
          <w:szCs w:val="22"/>
        </w:rPr>
      </w:pPr>
    </w:p>
    <w:sectPr w:rsidR="00FB461E" w:rsidRPr="00167099" w:rsidSect="00FB0E4F">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90" w:left="1170" w:header="36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C63CA" w14:textId="77777777" w:rsidR="002668DF" w:rsidRDefault="002668DF">
      <w:r>
        <w:separator/>
      </w:r>
    </w:p>
  </w:endnote>
  <w:endnote w:type="continuationSeparator" w:id="0">
    <w:p w14:paraId="2A0FD3A8" w14:textId="77777777" w:rsidR="002668DF" w:rsidRDefault="0026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112B" w14:textId="77777777" w:rsidR="000D63DE" w:rsidRDefault="000D63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2CA856" w14:textId="77777777" w:rsidR="000D63DE" w:rsidRDefault="000D63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4F67" w14:textId="77777777" w:rsidR="000D63DE" w:rsidRDefault="000D63DE">
    <w:pPr>
      <w:pStyle w:val="Footer"/>
      <w:framePr w:wrap="around" w:vAnchor="text" w:hAnchor="margin" w:xAlign="right" w:y="1"/>
      <w:rPr>
        <w:rStyle w:val="PageNumber"/>
      </w:rPr>
    </w:pPr>
  </w:p>
  <w:p w14:paraId="5472CB67" w14:textId="77777777" w:rsidR="000D63DE" w:rsidRDefault="000D63DE" w:rsidP="009F53AA">
    <w:pPr>
      <w:pStyle w:val="Footer"/>
      <w:ind w:right="360"/>
      <w:jc w:val="center"/>
      <w:rPr>
        <w:rFonts w:ascii="Century" w:hAnsi="Century"/>
        <w:b/>
        <w:sz w:val="18"/>
        <w:u w:val="doub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FEDB" w14:textId="77777777" w:rsidR="0071490C" w:rsidRDefault="00714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4562C" w14:textId="77777777" w:rsidR="002668DF" w:rsidRDefault="002668DF">
      <w:bookmarkStart w:id="0" w:name="_Hlk105490446"/>
      <w:bookmarkEnd w:id="0"/>
      <w:r>
        <w:separator/>
      </w:r>
    </w:p>
  </w:footnote>
  <w:footnote w:type="continuationSeparator" w:id="0">
    <w:p w14:paraId="3C509448" w14:textId="77777777" w:rsidR="002668DF" w:rsidRDefault="00266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F011" w14:textId="77777777" w:rsidR="0071490C" w:rsidRDefault="00714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5E84" w14:textId="47B30A03" w:rsidR="00FB0E4F" w:rsidRPr="00FB0E4F" w:rsidRDefault="00FB0E4F" w:rsidP="00FB0E4F">
    <w:pPr>
      <w:pStyle w:val="Heading1"/>
      <w:ind w:left="3420" w:hanging="3420"/>
      <w:rPr>
        <w:rFonts w:ascii="Arial" w:hAnsi="Arial" w:cs="Arial"/>
        <w:sz w:val="22"/>
        <w:szCs w:val="22"/>
      </w:rPr>
    </w:pPr>
  </w:p>
  <w:p w14:paraId="7E068FEA" w14:textId="50662A8A" w:rsidR="00FF5AF0" w:rsidRDefault="00FF5AF0" w:rsidP="00FF5AF0">
    <w:pPr>
      <w:pStyle w:val="Header"/>
      <w:tabs>
        <w:tab w:val="clear" w:pos="4320"/>
        <w:tab w:val="clear" w:pos="8640"/>
        <w:tab w:val="right" w:pos="10980"/>
      </w:tabs>
      <w:ind w:left="-1080" w:right="-900"/>
      <w:jc w:val="both"/>
    </w:pPr>
    <w:r>
      <w:tab/>
      <w:t xml:space="preserve">  </w:t>
    </w:r>
  </w:p>
  <w:p w14:paraId="12D26C2B" w14:textId="77777777" w:rsidR="000D63DE" w:rsidRPr="007A05BF" w:rsidRDefault="000D63DE" w:rsidP="007A05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292C" w14:textId="701A40DD" w:rsidR="00FB0E4F" w:rsidRDefault="00FB0E4F" w:rsidP="00FB0E4F">
    <w:pPr>
      <w:pStyle w:val="Header"/>
      <w:tabs>
        <w:tab w:val="clear" w:pos="4320"/>
        <w:tab w:val="clear" w:pos="8640"/>
      </w:tabs>
      <w:ind w:right="-990"/>
    </w:pPr>
    <w:r>
      <w:rPr>
        <w:noProof/>
      </w:rPr>
      <w:drawing>
        <wp:anchor distT="0" distB="0" distL="114300" distR="114300" simplePos="0" relativeHeight="251659264" behindDoc="1" locked="0" layoutInCell="1" allowOverlap="1" wp14:anchorId="527554B5" wp14:editId="7239CEE0">
          <wp:simplePos x="0" y="0"/>
          <wp:positionH relativeFrom="column">
            <wp:posOffset>-409575</wp:posOffset>
          </wp:positionH>
          <wp:positionV relativeFrom="paragraph">
            <wp:posOffset>6350</wp:posOffset>
          </wp:positionV>
          <wp:extent cx="1638989" cy="14097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989"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20A6E326" w14:textId="25374E2A" w:rsidR="00FB0E4F" w:rsidRDefault="00FB0E4F" w:rsidP="00FB0E4F">
    <w:pPr>
      <w:pStyle w:val="Header"/>
      <w:tabs>
        <w:tab w:val="clear" w:pos="4320"/>
        <w:tab w:val="clear" w:pos="8640"/>
      </w:tabs>
      <w:ind w:right="-810"/>
    </w:pPr>
    <w:r>
      <w:rPr>
        <w:noProof/>
      </w:rPr>
      <w:t xml:space="preserve">                                       </w:t>
    </w:r>
    <w:r>
      <w:rPr>
        <w:noProof/>
      </w:rPr>
      <w:drawing>
        <wp:inline distT="0" distB="0" distL="0" distR="0" wp14:anchorId="18090609" wp14:editId="2D394EFA">
          <wp:extent cx="5358630" cy="1247363"/>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19914" cy="126162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F5384"/>
    <w:multiLevelType w:val="hybridMultilevel"/>
    <w:tmpl w:val="6F5694D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29F7ECB"/>
    <w:multiLevelType w:val="hybridMultilevel"/>
    <w:tmpl w:val="6FFA3642"/>
    <w:lvl w:ilvl="0" w:tplc="C6BA50B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5E226DF"/>
    <w:multiLevelType w:val="hybridMultilevel"/>
    <w:tmpl w:val="29482D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A234B"/>
    <w:multiLevelType w:val="hybridMultilevel"/>
    <w:tmpl w:val="31DAEF48"/>
    <w:lvl w:ilvl="0" w:tplc="8D880D64">
      <w:start w:val="20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9075C"/>
    <w:multiLevelType w:val="hybridMultilevel"/>
    <w:tmpl w:val="0E74FD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5815B44"/>
    <w:multiLevelType w:val="hybridMultilevel"/>
    <w:tmpl w:val="02A28096"/>
    <w:lvl w:ilvl="0" w:tplc="5B38EE56">
      <w:numFmt w:val="bullet"/>
      <w:lvlText w:val="•"/>
      <w:lvlJc w:val="left"/>
      <w:pPr>
        <w:ind w:left="2640" w:hanging="140"/>
      </w:pPr>
      <w:rPr>
        <w:rFonts w:ascii="Arial" w:eastAsia="Arial" w:hAnsi="Arial" w:cs="Arial" w:hint="default"/>
        <w:b w:val="0"/>
        <w:bCs w:val="0"/>
        <w:i w:val="0"/>
        <w:iCs w:val="0"/>
        <w:w w:val="100"/>
        <w:sz w:val="22"/>
        <w:szCs w:val="22"/>
        <w:lang w:val="en-US" w:eastAsia="en-US" w:bidi="ar-SA"/>
      </w:rPr>
    </w:lvl>
    <w:lvl w:ilvl="1" w:tplc="FEC20D86">
      <w:numFmt w:val="bullet"/>
      <w:lvlText w:val="•"/>
      <w:lvlJc w:val="left"/>
      <w:pPr>
        <w:ind w:left="3546" w:hanging="140"/>
      </w:pPr>
      <w:rPr>
        <w:rFonts w:hint="default"/>
        <w:lang w:val="en-US" w:eastAsia="en-US" w:bidi="ar-SA"/>
      </w:rPr>
    </w:lvl>
    <w:lvl w:ilvl="2" w:tplc="44165A0C">
      <w:numFmt w:val="bullet"/>
      <w:lvlText w:val="•"/>
      <w:lvlJc w:val="left"/>
      <w:pPr>
        <w:ind w:left="4452" w:hanging="140"/>
      </w:pPr>
      <w:rPr>
        <w:rFonts w:hint="default"/>
        <w:lang w:val="en-US" w:eastAsia="en-US" w:bidi="ar-SA"/>
      </w:rPr>
    </w:lvl>
    <w:lvl w:ilvl="3" w:tplc="E54AF968">
      <w:numFmt w:val="bullet"/>
      <w:lvlText w:val="•"/>
      <w:lvlJc w:val="left"/>
      <w:pPr>
        <w:ind w:left="5358" w:hanging="140"/>
      </w:pPr>
      <w:rPr>
        <w:rFonts w:hint="default"/>
        <w:lang w:val="en-US" w:eastAsia="en-US" w:bidi="ar-SA"/>
      </w:rPr>
    </w:lvl>
    <w:lvl w:ilvl="4" w:tplc="BCD267C4">
      <w:numFmt w:val="bullet"/>
      <w:lvlText w:val="•"/>
      <w:lvlJc w:val="left"/>
      <w:pPr>
        <w:ind w:left="6264" w:hanging="140"/>
      </w:pPr>
      <w:rPr>
        <w:rFonts w:hint="default"/>
        <w:lang w:val="en-US" w:eastAsia="en-US" w:bidi="ar-SA"/>
      </w:rPr>
    </w:lvl>
    <w:lvl w:ilvl="5" w:tplc="4A2E2470">
      <w:numFmt w:val="bullet"/>
      <w:lvlText w:val="•"/>
      <w:lvlJc w:val="left"/>
      <w:pPr>
        <w:ind w:left="7170" w:hanging="140"/>
      </w:pPr>
      <w:rPr>
        <w:rFonts w:hint="default"/>
        <w:lang w:val="en-US" w:eastAsia="en-US" w:bidi="ar-SA"/>
      </w:rPr>
    </w:lvl>
    <w:lvl w:ilvl="6" w:tplc="52D2D276">
      <w:numFmt w:val="bullet"/>
      <w:lvlText w:val="•"/>
      <w:lvlJc w:val="left"/>
      <w:pPr>
        <w:ind w:left="8076" w:hanging="140"/>
      </w:pPr>
      <w:rPr>
        <w:rFonts w:hint="default"/>
        <w:lang w:val="en-US" w:eastAsia="en-US" w:bidi="ar-SA"/>
      </w:rPr>
    </w:lvl>
    <w:lvl w:ilvl="7" w:tplc="8B54C162">
      <w:numFmt w:val="bullet"/>
      <w:lvlText w:val="•"/>
      <w:lvlJc w:val="left"/>
      <w:pPr>
        <w:ind w:left="8982" w:hanging="140"/>
      </w:pPr>
      <w:rPr>
        <w:rFonts w:hint="default"/>
        <w:lang w:val="en-US" w:eastAsia="en-US" w:bidi="ar-SA"/>
      </w:rPr>
    </w:lvl>
    <w:lvl w:ilvl="8" w:tplc="45986ABC">
      <w:numFmt w:val="bullet"/>
      <w:lvlText w:val="•"/>
      <w:lvlJc w:val="left"/>
      <w:pPr>
        <w:ind w:left="9888" w:hanging="140"/>
      </w:pPr>
      <w:rPr>
        <w:rFonts w:hint="default"/>
        <w:lang w:val="en-US" w:eastAsia="en-US" w:bidi="ar-SA"/>
      </w:rPr>
    </w:lvl>
  </w:abstractNum>
  <w:abstractNum w:abstractNumId="6" w15:restartNumberingAfterBreak="0">
    <w:nsid w:val="6B6E27B8"/>
    <w:multiLevelType w:val="hybridMultilevel"/>
    <w:tmpl w:val="153285A6"/>
    <w:lvl w:ilvl="0" w:tplc="225CA51E">
      <w:start w:val="20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1259293">
    <w:abstractNumId w:val="6"/>
  </w:num>
  <w:num w:numId="2" w16cid:durableId="1852984043">
    <w:abstractNumId w:val="3"/>
  </w:num>
  <w:num w:numId="3" w16cid:durableId="1354191927">
    <w:abstractNumId w:val="0"/>
  </w:num>
  <w:num w:numId="4" w16cid:durableId="797525538">
    <w:abstractNumId w:val="1"/>
  </w:num>
  <w:num w:numId="5" w16cid:durableId="1775204372">
    <w:abstractNumId w:val="4"/>
  </w:num>
  <w:num w:numId="6" w16cid:durableId="1835101442">
    <w:abstractNumId w:val="2"/>
  </w:num>
  <w:num w:numId="7" w16cid:durableId="655913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6C3"/>
    <w:rsid w:val="00004A93"/>
    <w:rsid w:val="00004B41"/>
    <w:rsid w:val="00005CDB"/>
    <w:rsid w:val="00012E56"/>
    <w:rsid w:val="00053881"/>
    <w:rsid w:val="000639F5"/>
    <w:rsid w:val="00076D9F"/>
    <w:rsid w:val="00081165"/>
    <w:rsid w:val="000855DC"/>
    <w:rsid w:val="00093083"/>
    <w:rsid w:val="000D0F59"/>
    <w:rsid w:val="000D63DE"/>
    <w:rsid w:val="000E00FA"/>
    <w:rsid w:val="000E5F12"/>
    <w:rsid w:val="000F01E9"/>
    <w:rsid w:val="0014623F"/>
    <w:rsid w:val="00151FCD"/>
    <w:rsid w:val="00153706"/>
    <w:rsid w:val="00157F2D"/>
    <w:rsid w:val="0016060C"/>
    <w:rsid w:val="00167099"/>
    <w:rsid w:val="001709C3"/>
    <w:rsid w:val="0017737A"/>
    <w:rsid w:val="00180BFD"/>
    <w:rsid w:val="00191C73"/>
    <w:rsid w:val="001A5D1A"/>
    <w:rsid w:val="001E04E1"/>
    <w:rsid w:val="002157F0"/>
    <w:rsid w:val="00215FB8"/>
    <w:rsid w:val="00220F0F"/>
    <w:rsid w:val="00222109"/>
    <w:rsid w:val="002556F8"/>
    <w:rsid w:val="002617B4"/>
    <w:rsid w:val="00264AD8"/>
    <w:rsid w:val="002668DF"/>
    <w:rsid w:val="002748BE"/>
    <w:rsid w:val="00287847"/>
    <w:rsid w:val="00297C60"/>
    <w:rsid w:val="002B09D8"/>
    <w:rsid w:val="002B7350"/>
    <w:rsid w:val="002F1D13"/>
    <w:rsid w:val="0030612D"/>
    <w:rsid w:val="00314B28"/>
    <w:rsid w:val="00325E72"/>
    <w:rsid w:val="00345A8F"/>
    <w:rsid w:val="0035431C"/>
    <w:rsid w:val="0035634E"/>
    <w:rsid w:val="003611A6"/>
    <w:rsid w:val="00390788"/>
    <w:rsid w:val="00393E2D"/>
    <w:rsid w:val="003942DE"/>
    <w:rsid w:val="003A488F"/>
    <w:rsid w:val="003B2682"/>
    <w:rsid w:val="003B4E28"/>
    <w:rsid w:val="003C4983"/>
    <w:rsid w:val="003E1846"/>
    <w:rsid w:val="003E6D92"/>
    <w:rsid w:val="003F35E9"/>
    <w:rsid w:val="00411239"/>
    <w:rsid w:val="00430DFD"/>
    <w:rsid w:val="00437B4E"/>
    <w:rsid w:val="004553CC"/>
    <w:rsid w:val="0045662B"/>
    <w:rsid w:val="00483BA2"/>
    <w:rsid w:val="00495206"/>
    <w:rsid w:val="00497C2B"/>
    <w:rsid w:val="004A1DA4"/>
    <w:rsid w:val="004B1A29"/>
    <w:rsid w:val="004C56CC"/>
    <w:rsid w:val="004D17F5"/>
    <w:rsid w:val="004F2505"/>
    <w:rsid w:val="004F4B9C"/>
    <w:rsid w:val="004F7AC9"/>
    <w:rsid w:val="005231D3"/>
    <w:rsid w:val="005256C3"/>
    <w:rsid w:val="0053780F"/>
    <w:rsid w:val="005431B8"/>
    <w:rsid w:val="00580DD5"/>
    <w:rsid w:val="00585393"/>
    <w:rsid w:val="00591A38"/>
    <w:rsid w:val="005C3FA6"/>
    <w:rsid w:val="005D197B"/>
    <w:rsid w:val="005E4FED"/>
    <w:rsid w:val="005E5CE4"/>
    <w:rsid w:val="0063101E"/>
    <w:rsid w:val="00650B62"/>
    <w:rsid w:val="00655A22"/>
    <w:rsid w:val="00665E0E"/>
    <w:rsid w:val="00673797"/>
    <w:rsid w:val="0067427E"/>
    <w:rsid w:val="00683D1A"/>
    <w:rsid w:val="00691128"/>
    <w:rsid w:val="006A7A27"/>
    <w:rsid w:val="006E38D1"/>
    <w:rsid w:val="006E6E8D"/>
    <w:rsid w:val="006E7221"/>
    <w:rsid w:val="006F28C0"/>
    <w:rsid w:val="00714678"/>
    <w:rsid w:val="0071490C"/>
    <w:rsid w:val="00754A9B"/>
    <w:rsid w:val="0075534B"/>
    <w:rsid w:val="00760233"/>
    <w:rsid w:val="007611F4"/>
    <w:rsid w:val="007855D9"/>
    <w:rsid w:val="007948C5"/>
    <w:rsid w:val="007A05BF"/>
    <w:rsid w:val="007A5170"/>
    <w:rsid w:val="007B4868"/>
    <w:rsid w:val="007C1401"/>
    <w:rsid w:val="007C4305"/>
    <w:rsid w:val="007D2015"/>
    <w:rsid w:val="007D2AE3"/>
    <w:rsid w:val="007E54E3"/>
    <w:rsid w:val="00800998"/>
    <w:rsid w:val="00800A54"/>
    <w:rsid w:val="00802E26"/>
    <w:rsid w:val="00826EAD"/>
    <w:rsid w:val="00840E5A"/>
    <w:rsid w:val="008427CB"/>
    <w:rsid w:val="008809CF"/>
    <w:rsid w:val="00891B94"/>
    <w:rsid w:val="008C4FD1"/>
    <w:rsid w:val="008D4C96"/>
    <w:rsid w:val="008E083A"/>
    <w:rsid w:val="008E4085"/>
    <w:rsid w:val="008E670C"/>
    <w:rsid w:val="008F2971"/>
    <w:rsid w:val="00902A40"/>
    <w:rsid w:val="00905775"/>
    <w:rsid w:val="009223E0"/>
    <w:rsid w:val="00932BAF"/>
    <w:rsid w:val="00940E66"/>
    <w:rsid w:val="00953E0D"/>
    <w:rsid w:val="00965461"/>
    <w:rsid w:val="00971C9F"/>
    <w:rsid w:val="009853ED"/>
    <w:rsid w:val="009877D7"/>
    <w:rsid w:val="009A2A06"/>
    <w:rsid w:val="009A680D"/>
    <w:rsid w:val="009C4314"/>
    <w:rsid w:val="009F3B03"/>
    <w:rsid w:val="009F53AA"/>
    <w:rsid w:val="00A20F83"/>
    <w:rsid w:val="00A33186"/>
    <w:rsid w:val="00A35597"/>
    <w:rsid w:val="00A637A6"/>
    <w:rsid w:val="00A72F1A"/>
    <w:rsid w:val="00A753CA"/>
    <w:rsid w:val="00AB2678"/>
    <w:rsid w:val="00AC3FA8"/>
    <w:rsid w:val="00AD05EC"/>
    <w:rsid w:val="00AF4ADE"/>
    <w:rsid w:val="00B10D9F"/>
    <w:rsid w:val="00B13DF5"/>
    <w:rsid w:val="00B14245"/>
    <w:rsid w:val="00B16C8B"/>
    <w:rsid w:val="00B32827"/>
    <w:rsid w:val="00B56668"/>
    <w:rsid w:val="00B64D2E"/>
    <w:rsid w:val="00B70461"/>
    <w:rsid w:val="00B8030C"/>
    <w:rsid w:val="00B84A91"/>
    <w:rsid w:val="00B87F72"/>
    <w:rsid w:val="00B9403F"/>
    <w:rsid w:val="00BA6479"/>
    <w:rsid w:val="00BB1A93"/>
    <w:rsid w:val="00BC79C6"/>
    <w:rsid w:val="00BD0095"/>
    <w:rsid w:val="00BE742A"/>
    <w:rsid w:val="00BF3EF7"/>
    <w:rsid w:val="00C05DDE"/>
    <w:rsid w:val="00C0747F"/>
    <w:rsid w:val="00C15582"/>
    <w:rsid w:val="00C3196D"/>
    <w:rsid w:val="00C35BA0"/>
    <w:rsid w:val="00C377B5"/>
    <w:rsid w:val="00C40121"/>
    <w:rsid w:val="00C43CC0"/>
    <w:rsid w:val="00C455AE"/>
    <w:rsid w:val="00C45D8D"/>
    <w:rsid w:val="00C74D95"/>
    <w:rsid w:val="00C80947"/>
    <w:rsid w:val="00C90C17"/>
    <w:rsid w:val="00CA3B39"/>
    <w:rsid w:val="00CB42BD"/>
    <w:rsid w:val="00CC03E6"/>
    <w:rsid w:val="00CE3EA9"/>
    <w:rsid w:val="00CE4CFA"/>
    <w:rsid w:val="00CE6179"/>
    <w:rsid w:val="00D03229"/>
    <w:rsid w:val="00D06599"/>
    <w:rsid w:val="00D10C8D"/>
    <w:rsid w:val="00D11AFC"/>
    <w:rsid w:val="00D172F6"/>
    <w:rsid w:val="00D26517"/>
    <w:rsid w:val="00D34A52"/>
    <w:rsid w:val="00D41E80"/>
    <w:rsid w:val="00D557F1"/>
    <w:rsid w:val="00D724A8"/>
    <w:rsid w:val="00D72957"/>
    <w:rsid w:val="00DB1432"/>
    <w:rsid w:val="00DB4E21"/>
    <w:rsid w:val="00DC0C81"/>
    <w:rsid w:val="00DC25C4"/>
    <w:rsid w:val="00DC29AB"/>
    <w:rsid w:val="00DD1FA5"/>
    <w:rsid w:val="00DD4587"/>
    <w:rsid w:val="00DE15D4"/>
    <w:rsid w:val="00DE513A"/>
    <w:rsid w:val="00DF219E"/>
    <w:rsid w:val="00DF5B1F"/>
    <w:rsid w:val="00E04873"/>
    <w:rsid w:val="00E21658"/>
    <w:rsid w:val="00E238FD"/>
    <w:rsid w:val="00E30BEA"/>
    <w:rsid w:val="00E65BB3"/>
    <w:rsid w:val="00E82B11"/>
    <w:rsid w:val="00E9241A"/>
    <w:rsid w:val="00E96E7F"/>
    <w:rsid w:val="00EA189C"/>
    <w:rsid w:val="00EA2D75"/>
    <w:rsid w:val="00EA38CF"/>
    <w:rsid w:val="00EE5D1B"/>
    <w:rsid w:val="00F054C2"/>
    <w:rsid w:val="00F07634"/>
    <w:rsid w:val="00F27FC4"/>
    <w:rsid w:val="00F3250B"/>
    <w:rsid w:val="00F35732"/>
    <w:rsid w:val="00F426A6"/>
    <w:rsid w:val="00F902F8"/>
    <w:rsid w:val="00FB0E4F"/>
    <w:rsid w:val="00FB461E"/>
    <w:rsid w:val="00FC3FC9"/>
    <w:rsid w:val="00FD1EAA"/>
    <w:rsid w:val="00FD534D"/>
    <w:rsid w:val="00FF17EF"/>
    <w:rsid w:val="00FF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EE2D54"/>
  <w15:docId w15:val="{26BF290A-050B-41FC-B96C-23BE2837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b/>
      <w:bCs/>
      <w:lang w:val="en"/>
    </w:rPr>
  </w:style>
  <w:style w:type="paragraph" w:styleId="Heading2">
    <w:name w:val="heading 2"/>
    <w:basedOn w:val="Normal"/>
    <w:next w:val="Normal"/>
    <w:qFormat/>
    <w:pPr>
      <w:keepNext/>
      <w:spacing w:after="200"/>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link w:val="BodyTextIndentChar"/>
    <w:semiHidden/>
    <w:pPr>
      <w:spacing w:after="200"/>
      <w:ind w:left="720"/>
    </w:pPr>
    <w:rPr>
      <w:rFonts w:ascii="Arial" w:hAnsi="Arial" w:cs="Arial"/>
      <w:b/>
      <w:bCs/>
    </w:rPr>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link w:val="BodyTextIndent2Char"/>
    <w:semiHidden/>
    <w:pPr>
      <w:spacing w:after="200"/>
      <w:ind w:left="720"/>
    </w:pPr>
    <w:rPr>
      <w:rFonts w:ascii="Arial" w:hAnsi="Arial" w:cs="Arial"/>
      <w:b/>
      <w:bCs/>
    </w:rPr>
  </w:style>
  <w:style w:type="paragraph" w:styleId="BodyTextIndent3">
    <w:name w:val="Body Text Indent 3"/>
    <w:basedOn w:val="Normal"/>
    <w:semiHidden/>
    <w:pPr>
      <w:spacing w:after="200"/>
      <w:ind w:firstLine="720"/>
    </w:pPr>
    <w:rPr>
      <w:rFonts w:ascii="Arial" w:hAnsi="Arial" w:cs="Arial"/>
      <w:b/>
      <w:bCs/>
    </w:rPr>
  </w:style>
  <w:style w:type="paragraph" w:styleId="BodyText">
    <w:name w:val="Body Text"/>
    <w:basedOn w:val="Normal"/>
    <w:unhideWhenUsed/>
    <w:pPr>
      <w:spacing w:after="120"/>
    </w:pPr>
  </w:style>
  <w:style w:type="character" w:customStyle="1" w:styleId="BodyTextChar">
    <w:name w:val="Body Text Char"/>
    <w:semiHidden/>
    <w:rPr>
      <w:sz w:val="24"/>
      <w:szCs w:val="24"/>
    </w:rPr>
  </w:style>
  <w:style w:type="character" w:customStyle="1" w:styleId="FooterChar">
    <w:name w:val="Footer Char"/>
    <w:uiPriority w:val="99"/>
    <w:rPr>
      <w:sz w:val="24"/>
      <w:szCs w:val="24"/>
    </w:rPr>
  </w:style>
  <w:style w:type="paragraph" w:styleId="ListParagraph">
    <w:name w:val="List Paragraph"/>
    <w:basedOn w:val="Normal"/>
    <w:uiPriority w:val="34"/>
    <w:qFormat/>
    <w:rsid w:val="00FC3FC9"/>
    <w:pPr>
      <w:ind w:left="720"/>
      <w:contextualSpacing/>
    </w:pPr>
  </w:style>
  <w:style w:type="character" w:customStyle="1" w:styleId="BodyTextIndentChar">
    <w:name w:val="Body Text Indent Char"/>
    <w:link w:val="BodyTextIndent"/>
    <w:semiHidden/>
    <w:rsid w:val="008E4085"/>
    <w:rPr>
      <w:rFonts w:ascii="Arial" w:hAnsi="Arial" w:cs="Arial"/>
      <w:b/>
      <w:bCs/>
      <w:sz w:val="24"/>
      <w:szCs w:val="24"/>
    </w:rPr>
  </w:style>
  <w:style w:type="paragraph" w:styleId="NoSpacing">
    <w:name w:val="No Spacing"/>
    <w:uiPriority w:val="1"/>
    <w:qFormat/>
    <w:rsid w:val="009223E0"/>
    <w:rPr>
      <w:rFonts w:ascii="Calibri" w:eastAsia="Calibri" w:hAnsi="Calibri"/>
      <w:sz w:val="22"/>
      <w:szCs w:val="22"/>
    </w:rPr>
  </w:style>
  <w:style w:type="character" w:customStyle="1" w:styleId="BodyTextIndent2Char">
    <w:name w:val="Body Text Indent 2 Char"/>
    <w:link w:val="BodyTextIndent2"/>
    <w:semiHidden/>
    <w:rsid w:val="00EA189C"/>
    <w:rPr>
      <w:rFonts w:ascii="Arial" w:hAnsi="Arial" w:cs="Arial"/>
      <w:b/>
      <w:bCs/>
      <w:sz w:val="24"/>
      <w:szCs w:val="24"/>
    </w:rPr>
  </w:style>
  <w:style w:type="paragraph" w:styleId="PlainText">
    <w:name w:val="Plain Text"/>
    <w:basedOn w:val="Normal"/>
    <w:link w:val="PlainTextChar"/>
    <w:uiPriority w:val="99"/>
    <w:semiHidden/>
    <w:unhideWhenUsed/>
    <w:rsid w:val="00EA189C"/>
    <w:rPr>
      <w:rFonts w:ascii="Calibri" w:eastAsia="Calibri" w:hAnsi="Calibri"/>
      <w:sz w:val="22"/>
      <w:szCs w:val="21"/>
    </w:rPr>
  </w:style>
  <w:style w:type="character" w:customStyle="1" w:styleId="PlainTextChar">
    <w:name w:val="Plain Text Char"/>
    <w:link w:val="PlainText"/>
    <w:uiPriority w:val="99"/>
    <w:semiHidden/>
    <w:rsid w:val="00EA189C"/>
    <w:rPr>
      <w:rFonts w:ascii="Calibri" w:eastAsia="Calibri" w:hAnsi="Calibri"/>
      <w:sz w:val="22"/>
      <w:szCs w:val="21"/>
    </w:rPr>
  </w:style>
  <w:style w:type="paragraph" w:customStyle="1" w:styleId="xmsonormal">
    <w:name w:val="x_msonormal"/>
    <w:basedOn w:val="Normal"/>
    <w:rsid w:val="007C4305"/>
    <w:pPr>
      <w:spacing w:before="100" w:beforeAutospacing="1" w:after="100" w:afterAutospacing="1"/>
    </w:pPr>
  </w:style>
  <w:style w:type="paragraph" w:customStyle="1" w:styleId="Default">
    <w:name w:val="Default"/>
    <w:rsid w:val="007611F4"/>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F3250B"/>
    <w:rPr>
      <w:rFonts w:ascii="Segoe UI" w:hAnsi="Segoe UI" w:cs="Segoe UI"/>
      <w:sz w:val="18"/>
      <w:szCs w:val="18"/>
    </w:rPr>
  </w:style>
  <w:style w:type="character" w:customStyle="1" w:styleId="BalloonTextChar">
    <w:name w:val="Balloon Text Char"/>
    <w:link w:val="BalloonText"/>
    <w:uiPriority w:val="99"/>
    <w:semiHidden/>
    <w:rsid w:val="00F3250B"/>
    <w:rPr>
      <w:rFonts w:ascii="Segoe UI" w:hAnsi="Segoe UI" w:cs="Segoe UI"/>
      <w:sz w:val="18"/>
      <w:szCs w:val="18"/>
    </w:rPr>
  </w:style>
  <w:style w:type="character" w:customStyle="1" w:styleId="HeaderChar">
    <w:name w:val="Header Char"/>
    <w:basedOn w:val="DefaultParagraphFont"/>
    <w:link w:val="Header"/>
    <w:uiPriority w:val="99"/>
    <w:rsid w:val="00FF5AF0"/>
    <w:rPr>
      <w:sz w:val="24"/>
      <w:szCs w:val="24"/>
    </w:rPr>
  </w:style>
  <w:style w:type="character" w:styleId="Hyperlink">
    <w:name w:val="Hyperlink"/>
    <w:basedOn w:val="DefaultParagraphFont"/>
    <w:uiPriority w:val="99"/>
    <w:semiHidden/>
    <w:unhideWhenUsed/>
    <w:rsid w:val="008E67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727418">
      <w:bodyDiv w:val="1"/>
      <w:marLeft w:val="0"/>
      <w:marRight w:val="0"/>
      <w:marTop w:val="0"/>
      <w:marBottom w:val="0"/>
      <w:divBdr>
        <w:top w:val="none" w:sz="0" w:space="0" w:color="auto"/>
        <w:left w:val="none" w:sz="0" w:space="0" w:color="auto"/>
        <w:bottom w:val="none" w:sz="0" w:space="0" w:color="auto"/>
        <w:right w:val="none" w:sz="0" w:space="0" w:color="auto"/>
      </w:divBdr>
    </w:div>
    <w:div w:id="1557157343">
      <w:bodyDiv w:val="1"/>
      <w:marLeft w:val="0"/>
      <w:marRight w:val="0"/>
      <w:marTop w:val="0"/>
      <w:marBottom w:val="0"/>
      <w:divBdr>
        <w:top w:val="none" w:sz="0" w:space="0" w:color="auto"/>
        <w:left w:val="none" w:sz="0" w:space="0" w:color="auto"/>
        <w:bottom w:val="none" w:sz="0" w:space="0" w:color="auto"/>
        <w:right w:val="none" w:sz="0" w:space="0" w:color="auto"/>
      </w:divBdr>
    </w:div>
    <w:div w:id="207319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consortium.net/sites/default/files/Board_of_Directors/Actions_Resolutions/2022/Res.%20No.%20017-2022%20-%20Adoption%20of%20Amendment%20to%20Investment%20Management%20Policy.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BDDF7-8E76-4CE8-B4D2-28B855EDC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Tompkins County</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JKIPPOLA</dc:creator>
  <cp:lastModifiedBy>Lynne Sheldon</cp:lastModifiedBy>
  <cp:revision>2</cp:revision>
  <cp:lastPrinted>2022-06-07T12:37:00Z</cp:lastPrinted>
  <dcterms:created xsi:type="dcterms:W3CDTF">2022-12-13T14:57:00Z</dcterms:created>
  <dcterms:modified xsi:type="dcterms:W3CDTF">2022-12-13T14:57:00Z</dcterms:modified>
</cp:coreProperties>
</file>