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5A741526" w14:textId="0E2B91DA" w:rsidR="00C05DDE" w:rsidRDefault="00C05DDE" w:rsidP="00DC0C81">
      <w:pPr>
        <w:widowControl w:val="0"/>
        <w:autoSpaceDE w:val="0"/>
        <w:autoSpaceDN w:val="0"/>
        <w:adjustRightInd w:val="0"/>
        <w:ind w:right="-36"/>
        <w:jc w:val="right"/>
        <w:rPr>
          <w:rFonts w:ascii="Arial" w:eastAsia="Arial" w:hAnsi="Arial" w:cs="Arial"/>
          <w:color w:val="000000"/>
          <w:sz w:val="22"/>
          <w:szCs w:val="22"/>
        </w:rPr>
      </w:pPr>
    </w:p>
    <w:p w14:paraId="388713FD" w14:textId="3116A8CD" w:rsidR="0071490C" w:rsidRDefault="0071490C" w:rsidP="00DC0C81">
      <w:pPr>
        <w:widowControl w:val="0"/>
        <w:autoSpaceDE w:val="0"/>
        <w:autoSpaceDN w:val="0"/>
        <w:adjustRightInd w:val="0"/>
        <w:ind w:right="-36"/>
        <w:jc w:val="right"/>
        <w:rPr>
          <w:rFonts w:ascii="Arial" w:eastAsia="Arial" w:hAnsi="Arial" w:cs="Arial"/>
          <w:color w:val="000000"/>
          <w:sz w:val="22"/>
          <w:szCs w:val="22"/>
        </w:rPr>
      </w:pPr>
    </w:p>
    <w:p w14:paraId="00D83414" w14:textId="77777777" w:rsidR="00AB4C26" w:rsidRPr="007C3CD9" w:rsidRDefault="00AB4C26" w:rsidP="00AB4C26">
      <w:pPr>
        <w:pStyle w:val="Default"/>
        <w:ind w:left="3240" w:hanging="3240"/>
        <w:rPr>
          <w:b/>
          <w:bCs/>
          <w:color w:val="auto"/>
          <w:sz w:val="22"/>
          <w:szCs w:val="22"/>
        </w:rPr>
      </w:pPr>
      <w:r w:rsidRPr="007C3CD9">
        <w:rPr>
          <w:b/>
          <w:bCs/>
          <w:color w:val="auto"/>
          <w:sz w:val="22"/>
          <w:szCs w:val="22"/>
        </w:rPr>
        <w:t>RESOLUTION NO.  030-2022 – Actuarial Value Standard Deviation Amendment</w:t>
      </w:r>
    </w:p>
    <w:p w14:paraId="0152A090" w14:textId="77777777" w:rsidR="00AB4C26" w:rsidRPr="007C3CD9" w:rsidRDefault="00AB4C26" w:rsidP="00AB4C26">
      <w:pPr>
        <w:pStyle w:val="Default"/>
        <w:ind w:left="3240" w:hanging="3240"/>
        <w:rPr>
          <w:b/>
          <w:bCs/>
          <w:color w:val="auto"/>
          <w:sz w:val="22"/>
          <w:szCs w:val="22"/>
        </w:rPr>
      </w:pPr>
      <w:r w:rsidRPr="007C3CD9">
        <w:rPr>
          <w:b/>
          <w:bCs/>
          <w:color w:val="auto"/>
          <w:sz w:val="22"/>
          <w:szCs w:val="22"/>
        </w:rPr>
        <w:t xml:space="preserve"> </w:t>
      </w:r>
    </w:p>
    <w:p w14:paraId="763D7D01" w14:textId="77777777" w:rsidR="00AB4C26" w:rsidRPr="007C3CD9" w:rsidRDefault="00AB4C26" w:rsidP="00AB4C26">
      <w:pPr>
        <w:pStyle w:val="Default"/>
        <w:ind w:left="3240" w:hanging="3240"/>
        <w:rPr>
          <w:color w:val="auto"/>
          <w:sz w:val="22"/>
          <w:szCs w:val="22"/>
        </w:rPr>
      </w:pPr>
    </w:p>
    <w:p w14:paraId="2FF19749" w14:textId="77777777" w:rsidR="00AB4C26" w:rsidRPr="007C3CD9" w:rsidRDefault="00AB4C26" w:rsidP="00AB4C26">
      <w:pPr>
        <w:pStyle w:val="Default"/>
        <w:rPr>
          <w:color w:val="auto"/>
          <w:sz w:val="22"/>
          <w:szCs w:val="22"/>
        </w:rPr>
      </w:pPr>
      <w:r w:rsidRPr="007C3CD9">
        <w:rPr>
          <w:b/>
          <w:bCs/>
          <w:color w:val="auto"/>
          <w:sz w:val="22"/>
          <w:szCs w:val="22"/>
        </w:rPr>
        <w:t xml:space="preserve"> </w:t>
      </w:r>
      <w:r w:rsidRPr="007C3CD9">
        <w:rPr>
          <w:b/>
          <w:bCs/>
          <w:color w:val="auto"/>
          <w:sz w:val="22"/>
          <w:szCs w:val="22"/>
        </w:rPr>
        <w:tab/>
      </w:r>
      <w:r w:rsidRPr="007C3CD9">
        <w:rPr>
          <w:bCs/>
          <w:color w:val="auto"/>
          <w:sz w:val="22"/>
          <w:szCs w:val="22"/>
        </w:rPr>
        <w:t xml:space="preserve">MOVED by Ms. Shawley, seconded by Mr. Emerson, </w:t>
      </w:r>
      <w:r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Pr="007C3CD9">
        <w:rPr>
          <w:bCs/>
          <w:color w:val="auto"/>
          <w:sz w:val="22"/>
          <w:szCs w:val="22"/>
        </w:rPr>
        <w:t>.</w:t>
      </w:r>
    </w:p>
    <w:p w14:paraId="6245922D" w14:textId="77777777" w:rsidR="00AB4C26" w:rsidRPr="007C3CD9" w:rsidRDefault="00AB4C26" w:rsidP="00AB4C26">
      <w:pPr>
        <w:pStyle w:val="Default"/>
        <w:tabs>
          <w:tab w:val="left" w:pos="720"/>
        </w:tabs>
        <w:rPr>
          <w:color w:val="auto"/>
          <w:sz w:val="22"/>
          <w:szCs w:val="22"/>
        </w:rPr>
      </w:pPr>
      <w:r w:rsidRPr="007C3CD9">
        <w:rPr>
          <w:color w:val="auto"/>
          <w:sz w:val="22"/>
          <w:szCs w:val="22"/>
        </w:rPr>
        <w:t xml:space="preserve"> </w:t>
      </w:r>
    </w:p>
    <w:p w14:paraId="2205AD34"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r>
      <w:proofErr w:type="gramStart"/>
      <w:r w:rsidRPr="007C3CD9">
        <w:rPr>
          <w:color w:val="auto"/>
          <w:sz w:val="22"/>
          <w:szCs w:val="22"/>
        </w:rPr>
        <w:t>WHEREAS,</w:t>
      </w:r>
      <w:proofErr w:type="gramEnd"/>
      <w:r w:rsidRPr="007C3CD9">
        <w:rPr>
          <w:color w:val="auto"/>
          <w:sz w:val="22"/>
          <w:szCs w:val="22"/>
        </w:rPr>
        <w:t xml:space="preserve"> the Consortium must annually review the actuarial values for its Metal Level Plans to ensure they each fall within the established ranges set by the Centers for Medicare and Medicaid Services (CMS), and </w:t>
      </w:r>
    </w:p>
    <w:p w14:paraId="4ED26A19" w14:textId="77777777" w:rsidR="00AB4C26" w:rsidRPr="007C3CD9" w:rsidRDefault="00AB4C26" w:rsidP="00AB4C26">
      <w:pPr>
        <w:pStyle w:val="Default"/>
        <w:tabs>
          <w:tab w:val="left" w:pos="720"/>
        </w:tabs>
        <w:rPr>
          <w:color w:val="auto"/>
          <w:sz w:val="22"/>
          <w:szCs w:val="22"/>
        </w:rPr>
      </w:pPr>
    </w:p>
    <w:p w14:paraId="793D227C"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 xml:space="preserve">WHEREAS, upon reviewing the results of the actuarial value calculations for the Consortium utilizing the Centers for Medicare and Medicaid Services (“CMS”) actuarial value calculator and methodology it was noted that the percent de minimis variation (a.k.a., standard deviation) was amended for the Bronze High Deductible Health Plan, now therefore be it </w:t>
      </w:r>
    </w:p>
    <w:p w14:paraId="3960F458" w14:textId="77777777" w:rsidR="00AB4C26" w:rsidRPr="007C3CD9" w:rsidRDefault="00AB4C26" w:rsidP="00AB4C26">
      <w:pPr>
        <w:pStyle w:val="Default"/>
        <w:tabs>
          <w:tab w:val="left" w:pos="720"/>
        </w:tabs>
        <w:rPr>
          <w:color w:val="auto"/>
          <w:sz w:val="22"/>
          <w:szCs w:val="22"/>
        </w:rPr>
      </w:pPr>
    </w:p>
    <w:p w14:paraId="578AB334"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 xml:space="preserve">RESOLVED, on recommendation of the Executive Committee and the Joint Committee on Plan Structure and Design, </w:t>
      </w:r>
      <w:proofErr w:type="gramStart"/>
      <w:r w:rsidRPr="007C3CD9">
        <w:rPr>
          <w:color w:val="auto"/>
          <w:sz w:val="22"/>
          <w:szCs w:val="22"/>
        </w:rPr>
        <w:t>That</w:t>
      </w:r>
      <w:proofErr w:type="gramEnd"/>
      <w:r w:rsidRPr="007C3CD9">
        <w:rPr>
          <w:color w:val="auto"/>
          <w:sz w:val="22"/>
          <w:szCs w:val="22"/>
        </w:rPr>
        <w:t xml:space="preserve"> effective January 1, 2023, the percent de minimis variation (a.k.a., standard deviation) allowed for each of the Consortium’s metal level plans will be as follows:</w:t>
      </w:r>
    </w:p>
    <w:p w14:paraId="7F09A68E" w14:textId="77777777" w:rsidR="00AB4C26" w:rsidRPr="007C3CD9" w:rsidRDefault="00AB4C26" w:rsidP="00AB4C26">
      <w:pPr>
        <w:pStyle w:val="Default"/>
        <w:tabs>
          <w:tab w:val="left" w:pos="720"/>
        </w:tabs>
        <w:jc w:val="both"/>
        <w:rPr>
          <w:color w:val="auto"/>
          <w:sz w:val="22"/>
          <w:szCs w:val="22"/>
        </w:rPr>
      </w:pPr>
    </w:p>
    <w:p w14:paraId="30479F88"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Platinum Preferred Provider Organization Plan</w:t>
      </w:r>
      <w:r w:rsidRPr="007C3CD9">
        <w:rPr>
          <w:color w:val="auto"/>
          <w:sz w:val="22"/>
          <w:szCs w:val="22"/>
        </w:rPr>
        <w:tab/>
        <w:t>+2% / -2% (92.49% to 87.50%)</w:t>
      </w:r>
    </w:p>
    <w:p w14:paraId="46BFE751" w14:textId="77777777" w:rsidR="00AB4C26" w:rsidRPr="007C3CD9" w:rsidRDefault="00AB4C26" w:rsidP="00AB4C26">
      <w:pPr>
        <w:pStyle w:val="Default"/>
        <w:tabs>
          <w:tab w:val="left" w:pos="720"/>
        </w:tabs>
        <w:jc w:val="both"/>
        <w:rPr>
          <w:color w:val="auto"/>
          <w:sz w:val="22"/>
          <w:szCs w:val="22"/>
        </w:rPr>
      </w:pPr>
    </w:p>
    <w:p w14:paraId="4B19F022"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Gold High Deductible Health Plan</w:t>
      </w:r>
      <w:r w:rsidRPr="007C3CD9">
        <w:rPr>
          <w:color w:val="auto"/>
          <w:sz w:val="22"/>
          <w:szCs w:val="22"/>
        </w:rPr>
        <w:tab/>
      </w:r>
      <w:r w:rsidRPr="007C3CD9">
        <w:rPr>
          <w:color w:val="auto"/>
          <w:sz w:val="22"/>
          <w:szCs w:val="22"/>
        </w:rPr>
        <w:tab/>
      </w:r>
      <w:r w:rsidRPr="007C3CD9">
        <w:rPr>
          <w:color w:val="auto"/>
          <w:sz w:val="22"/>
          <w:szCs w:val="22"/>
        </w:rPr>
        <w:tab/>
        <w:t>+2% / -2% (82.49% to 77.50%)</w:t>
      </w:r>
    </w:p>
    <w:p w14:paraId="3D1E1CCC" w14:textId="77777777" w:rsidR="00AB4C26" w:rsidRPr="007C3CD9" w:rsidRDefault="00AB4C26" w:rsidP="00AB4C26">
      <w:pPr>
        <w:pStyle w:val="Default"/>
        <w:tabs>
          <w:tab w:val="left" w:pos="720"/>
        </w:tabs>
        <w:jc w:val="both"/>
        <w:rPr>
          <w:color w:val="auto"/>
          <w:sz w:val="22"/>
          <w:szCs w:val="22"/>
        </w:rPr>
      </w:pPr>
    </w:p>
    <w:p w14:paraId="47438CC9"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Silver High Deductible Health Plan</w:t>
      </w:r>
      <w:r w:rsidRPr="007C3CD9">
        <w:rPr>
          <w:color w:val="auto"/>
          <w:sz w:val="22"/>
          <w:szCs w:val="22"/>
        </w:rPr>
        <w:tab/>
      </w:r>
      <w:r w:rsidRPr="007C3CD9">
        <w:rPr>
          <w:color w:val="auto"/>
          <w:sz w:val="22"/>
          <w:szCs w:val="22"/>
        </w:rPr>
        <w:tab/>
      </w:r>
      <w:r w:rsidRPr="007C3CD9">
        <w:rPr>
          <w:color w:val="auto"/>
          <w:sz w:val="22"/>
          <w:szCs w:val="22"/>
        </w:rPr>
        <w:tab/>
        <w:t>+2% / -2% (72.49% to 67.50%)</w:t>
      </w:r>
    </w:p>
    <w:p w14:paraId="057CCA39" w14:textId="77777777" w:rsidR="00AB4C26" w:rsidRPr="007C3CD9" w:rsidRDefault="00AB4C26" w:rsidP="00AB4C26">
      <w:pPr>
        <w:pStyle w:val="Default"/>
        <w:tabs>
          <w:tab w:val="left" w:pos="720"/>
        </w:tabs>
        <w:jc w:val="both"/>
        <w:rPr>
          <w:color w:val="auto"/>
          <w:sz w:val="22"/>
          <w:szCs w:val="22"/>
        </w:rPr>
      </w:pPr>
    </w:p>
    <w:p w14:paraId="1F669FF6" w14:textId="77777777" w:rsidR="00AB4C26" w:rsidRPr="007C3CD9" w:rsidRDefault="00AB4C26" w:rsidP="00AB4C26">
      <w:pPr>
        <w:pStyle w:val="Default"/>
        <w:tabs>
          <w:tab w:val="left" w:pos="720"/>
        </w:tabs>
        <w:jc w:val="both"/>
        <w:rPr>
          <w:color w:val="auto"/>
          <w:sz w:val="22"/>
          <w:szCs w:val="22"/>
        </w:rPr>
      </w:pPr>
      <w:r w:rsidRPr="007C3CD9">
        <w:rPr>
          <w:color w:val="auto"/>
          <w:sz w:val="22"/>
          <w:szCs w:val="22"/>
        </w:rPr>
        <w:tab/>
        <w:t>Bronze High Deductible Health Plan</w:t>
      </w:r>
      <w:r w:rsidRPr="007C3CD9">
        <w:rPr>
          <w:color w:val="auto"/>
          <w:sz w:val="22"/>
          <w:szCs w:val="22"/>
        </w:rPr>
        <w:tab/>
      </w:r>
      <w:r w:rsidRPr="007C3CD9">
        <w:rPr>
          <w:color w:val="auto"/>
          <w:sz w:val="22"/>
          <w:szCs w:val="22"/>
        </w:rPr>
        <w:tab/>
      </w:r>
      <w:r w:rsidRPr="007C3CD9">
        <w:rPr>
          <w:color w:val="auto"/>
          <w:sz w:val="22"/>
          <w:szCs w:val="22"/>
        </w:rPr>
        <w:tab/>
        <w:t>+5% / -2% (65.49% to 57.50%)</w:t>
      </w:r>
    </w:p>
    <w:p w14:paraId="3F135D22" w14:textId="77777777" w:rsidR="00AB4C26" w:rsidRPr="007C3CD9" w:rsidRDefault="00AB4C26" w:rsidP="00AB4C26">
      <w:pPr>
        <w:pStyle w:val="Default"/>
        <w:tabs>
          <w:tab w:val="left" w:pos="720"/>
        </w:tabs>
        <w:jc w:val="both"/>
        <w:rPr>
          <w:b/>
          <w:color w:val="auto"/>
        </w:rPr>
      </w:pPr>
    </w:p>
    <w:p w14:paraId="7736098B" w14:textId="77777777" w:rsidR="00AB4C26" w:rsidRDefault="00AB4C26" w:rsidP="00012E56">
      <w:pPr>
        <w:pStyle w:val="Default"/>
        <w:ind w:left="3240" w:hanging="3240"/>
        <w:rPr>
          <w:b/>
          <w:bCs/>
          <w:color w:val="auto"/>
          <w:sz w:val="22"/>
          <w:szCs w:val="22"/>
        </w:rPr>
      </w:pPr>
    </w:p>
    <w:p w14:paraId="32910777" w14:textId="77777777" w:rsidR="00AB4C26" w:rsidRDefault="00AB4C26" w:rsidP="00012E56">
      <w:pPr>
        <w:pStyle w:val="Default"/>
        <w:ind w:left="3240" w:hanging="3240"/>
        <w:rPr>
          <w:b/>
          <w:bCs/>
          <w:color w:val="auto"/>
          <w:sz w:val="22"/>
          <w:szCs w:val="22"/>
        </w:rPr>
      </w:pPr>
    </w:p>
    <w:p w14:paraId="52826FDC" w14:textId="77777777" w:rsidR="00012E56" w:rsidRPr="007C3CD9" w:rsidRDefault="00012E56" w:rsidP="00012E56">
      <w:pPr>
        <w:pStyle w:val="NoSpacing"/>
        <w:ind w:left="3150" w:hanging="3150"/>
        <w:jc w:val="center"/>
        <w:rPr>
          <w:rFonts w:ascii="Arial" w:hAnsi="Arial" w:cs="Arial"/>
          <w:b/>
        </w:rPr>
      </w:pPr>
    </w:p>
    <w:p w14:paraId="710A2D86" w14:textId="77777777" w:rsidR="00012E56" w:rsidRPr="007C3CD9" w:rsidRDefault="00012E56" w:rsidP="00012E56">
      <w:pPr>
        <w:pStyle w:val="NoSpacing"/>
        <w:ind w:left="3150" w:hanging="3150"/>
        <w:jc w:val="center"/>
        <w:rPr>
          <w:rFonts w:ascii="Arial" w:hAnsi="Arial" w:cs="Arial"/>
          <w:b/>
        </w:rPr>
      </w:pPr>
    </w:p>
    <w:p w14:paraId="2E816F62" w14:textId="77777777" w:rsidR="00012E56" w:rsidRPr="007C3CD9" w:rsidRDefault="00012E56" w:rsidP="00012E56">
      <w:pPr>
        <w:pStyle w:val="NoSpacing"/>
        <w:ind w:left="3150" w:hanging="3150"/>
        <w:jc w:val="center"/>
        <w:rPr>
          <w:rFonts w:ascii="Arial" w:hAnsi="Arial" w:cs="Arial"/>
          <w:b/>
        </w:rPr>
      </w:pPr>
      <w:r w:rsidRPr="007C3CD9">
        <w:rPr>
          <w:rFonts w:ascii="Arial" w:hAnsi="Arial" w:cs="Arial"/>
          <w:b/>
        </w:rPr>
        <w:t>* * * * * * * * * *</w:t>
      </w:r>
    </w:p>
    <w:p w14:paraId="5DA239F6" w14:textId="77777777" w:rsidR="003E6D92" w:rsidRPr="00737A49" w:rsidRDefault="003E6D92" w:rsidP="003E6D92">
      <w:pPr>
        <w:widowControl w:val="0"/>
        <w:tabs>
          <w:tab w:val="left" w:pos="1080"/>
        </w:tabs>
        <w:autoSpaceDE w:val="0"/>
        <w:autoSpaceDN w:val="0"/>
        <w:spacing w:before="1"/>
        <w:ind w:left="1080" w:right="948" w:hanging="630"/>
        <w:jc w:val="both"/>
        <w:rPr>
          <w:rFonts w:ascii="Arial" w:eastAsia="Arial" w:hAnsi="Arial" w:cs="Arial"/>
          <w:sz w:val="22"/>
          <w:szCs w:val="22"/>
        </w:rPr>
      </w:pPr>
    </w:p>
    <w:p w14:paraId="33966FE1" w14:textId="77777777" w:rsidR="003E6D92" w:rsidRPr="00737A49" w:rsidRDefault="003E6D92" w:rsidP="003E6D92">
      <w:pPr>
        <w:widowControl w:val="0"/>
        <w:autoSpaceDE w:val="0"/>
        <w:autoSpaceDN w:val="0"/>
        <w:spacing w:line="251" w:lineRule="exact"/>
        <w:ind w:right="973"/>
        <w:jc w:val="center"/>
        <w:rPr>
          <w:rFonts w:ascii="Arial" w:hAnsi="Arial" w:cs="Arial"/>
          <w:sz w:val="22"/>
          <w:szCs w:val="22"/>
        </w:rPr>
      </w:pP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10"/>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pacing w:val="-10"/>
          <w:sz w:val="22"/>
          <w:szCs w:val="22"/>
        </w:rPr>
        <w:t>*</w:t>
      </w:r>
    </w:p>
    <w:p w14:paraId="2D4ED897" w14:textId="77777777" w:rsidR="003E6D92" w:rsidRPr="007C3CD9" w:rsidRDefault="003E6D92" w:rsidP="003E6D92">
      <w:pPr>
        <w:rPr>
          <w:rFonts w:ascii="Arial" w:hAnsi="Arial" w:cs="Arial"/>
          <w:b/>
          <w:sz w:val="22"/>
          <w:szCs w:val="22"/>
          <w:u w:val="single"/>
        </w:rPr>
      </w:pPr>
    </w:p>
    <w:p w14:paraId="67846C13" w14:textId="20269DBD" w:rsidR="0071490C" w:rsidRDefault="0071490C" w:rsidP="0071490C">
      <w:pPr>
        <w:rPr>
          <w:rFonts w:ascii="Arial" w:eastAsia="Calibri" w:hAnsi="Arial" w:cs="Arial"/>
          <w:b/>
          <w:bCs/>
          <w:sz w:val="22"/>
          <w:szCs w:val="22"/>
        </w:rPr>
      </w:pPr>
    </w:p>
    <w:p w14:paraId="6B0DC00A" w14:textId="047E258B" w:rsidR="00F35732" w:rsidRDefault="00B9403F" w:rsidP="0071490C">
      <w:pPr>
        <w:rPr>
          <w:rFonts w:ascii="Arial" w:eastAsia="Calibri" w:hAnsi="Arial" w:cs="Arial"/>
          <w:b/>
          <w:bCs/>
          <w:sz w:val="22"/>
          <w:szCs w:val="22"/>
        </w:rPr>
      </w:pPr>
      <w:r>
        <w:rPr>
          <w:noProof/>
        </w:rPr>
        <w:drawing>
          <wp:anchor distT="0" distB="0" distL="114300" distR="114300" simplePos="0" relativeHeight="251659264" behindDoc="0" locked="0" layoutInCell="1" allowOverlap="1" wp14:anchorId="0FCF18B7" wp14:editId="07D0BB96">
            <wp:simplePos x="0" y="0"/>
            <wp:positionH relativeFrom="column">
              <wp:posOffset>-157903</wp:posOffset>
            </wp:positionH>
            <wp:positionV relativeFrom="paragraph">
              <wp:posOffset>-579120</wp:posOffset>
            </wp:positionV>
            <wp:extent cx="6646333" cy="1955665"/>
            <wp:effectExtent l="0" t="0" r="2540" b="6985"/>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6333" cy="1955665"/>
                    </a:xfrm>
                    <a:prstGeom prst="rect">
                      <a:avLst/>
                    </a:prstGeom>
                  </pic:spPr>
                </pic:pic>
              </a:graphicData>
            </a:graphic>
            <wp14:sizeRelH relativeFrom="margin">
              <wp14:pctWidth>0</wp14:pctWidth>
            </wp14:sizeRelH>
            <wp14:sizeRelV relativeFrom="margin">
              <wp14:pctHeight>0</wp14:pctHeight>
            </wp14:sizeRelV>
          </wp:anchor>
        </w:drawing>
      </w:r>
    </w:p>
    <w:p w14:paraId="05D7A01E" w14:textId="234BED7C" w:rsidR="00F35732" w:rsidRDefault="00F35732" w:rsidP="0071490C">
      <w:pPr>
        <w:rPr>
          <w:rFonts w:ascii="Arial" w:eastAsia="Arial" w:hAnsi="Arial" w:cs="Arial"/>
          <w:color w:val="000000"/>
          <w:sz w:val="22"/>
          <w:szCs w:val="22"/>
        </w:rPr>
      </w:pPr>
    </w:p>
    <w:p w14:paraId="6152355E" w14:textId="3FB85045" w:rsidR="00AC3FA8" w:rsidRDefault="00AC3FA8" w:rsidP="0071490C">
      <w:pPr>
        <w:rPr>
          <w:rFonts w:ascii="Arial" w:eastAsia="Arial" w:hAnsi="Arial" w:cs="Arial"/>
          <w:color w:val="000000"/>
          <w:sz w:val="22"/>
          <w:szCs w:val="22"/>
        </w:rPr>
      </w:pPr>
    </w:p>
    <w:p w14:paraId="68DA3D2F" w14:textId="153B1D3A" w:rsidR="0071490C" w:rsidRDefault="0071490C" w:rsidP="0071490C">
      <w:pPr>
        <w:rPr>
          <w:rFonts w:ascii="Arial" w:eastAsia="Arial" w:hAnsi="Arial" w:cs="Arial"/>
          <w:sz w:val="22"/>
          <w:szCs w:val="22"/>
        </w:rPr>
      </w:pPr>
    </w:p>
    <w:p w14:paraId="5FE5DF27" w14:textId="07FA6E1C" w:rsidR="0071490C" w:rsidRPr="0071490C" w:rsidRDefault="0071490C" w:rsidP="0071490C">
      <w:pPr>
        <w:rPr>
          <w:rFonts w:ascii="Arial" w:eastAsia="Arial" w:hAnsi="Arial" w:cs="Arial"/>
          <w:sz w:val="22"/>
          <w:szCs w:val="22"/>
        </w:rPr>
      </w:pPr>
    </w:p>
    <w:sectPr w:rsidR="0071490C" w:rsidRPr="0071490C" w:rsidSect="00FB0E4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A177" w14:textId="77777777" w:rsidR="00430DFD" w:rsidRDefault="00430DFD">
      <w:r>
        <w:separator/>
      </w:r>
    </w:p>
  </w:endnote>
  <w:endnote w:type="continuationSeparator" w:id="0">
    <w:p w14:paraId="0D85888C" w14:textId="77777777" w:rsidR="00430DFD" w:rsidRDefault="004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3DDE" w14:textId="77777777" w:rsidR="00430DFD" w:rsidRDefault="00430DFD">
      <w:bookmarkStart w:id="0" w:name="_Hlk105490446"/>
      <w:bookmarkEnd w:id="0"/>
      <w:r>
        <w:separator/>
      </w:r>
    </w:p>
  </w:footnote>
  <w:footnote w:type="continuationSeparator" w:id="0">
    <w:p w14:paraId="08F4B57C" w14:textId="77777777" w:rsidR="00430DFD" w:rsidRDefault="0043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6"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6"/>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 w:numId="7" w16cid:durableId="65591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12E56"/>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682"/>
    <w:rsid w:val="003B4E28"/>
    <w:rsid w:val="003C4983"/>
    <w:rsid w:val="003E1846"/>
    <w:rsid w:val="003E6D92"/>
    <w:rsid w:val="003F35E9"/>
    <w:rsid w:val="00411239"/>
    <w:rsid w:val="00430DFD"/>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C4314"/>
    <w:rsid w:val="009F53AA"/>
    <w:rsid w:val="00A20F83"/>
    <w:rsid w:val="00A33186"/>
    <w:rsid w:val="00A35597"/>
    <w:rsid w:val="00A637A6"/>
    <w:rsid w:val="00A72F1A"/>
    <w:rsid w:val="00A753CA"/>
    <w:rsid w:val="00AB2678"/>
    <w:rsid w:val="00AB4C26"/>
    <w:rsid w:val="00AC3FA8"/>
    <w:rsid w:val="00AD05EC"/>
    <w:rsid w:val="00B10D9F"/>
    <w:rsid w:val="00B13DF5"/>
    <w:rsid w:val="00B14245"/>
    <w:rsid w:val="00B16C8B"/>
    <w:rsid w:val="00B32827"/>
    <w:rsid w:val="00B56668"/>
    <w:rsid w:val="00B64D2E"/>
    <w:rsid w:val="00B70461"/>
    <w:rsid w:val="00B84A91"/>
    <w:rsid w:val="00B87F72"/>
    <w:rsid w:val="00B9403F"/>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219E"/>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35732"/>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2022-11-18T16:51:00Z</dcterms:created>
  <dcterms:modified xsi:type="dcterms:W3CDTF">2022-11-18T16:51:00Z</dcterms:modified>
</cp:coreProperties>
</file>