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BB9" w14:textId="370C8659" w:rsidR="001709C3" w:rsidRPr="00FB0E4F" w:rsidRDefault="00C43CC0" w:rsidP="00FB0E4F">
      <w:pPr>
        <w:rPr>
          <w:rFonts w:ascii="Arial" w:hAnsi="Arial" w:cs="Arial"/>
          <w:b/>
          <w:bCs/>
          <w:i/>
          <w:iCs/>
          <w:sz w:val="22"/>
          <w:szCs w:val="22"/>
        </w:rPr>
      </w:pPr>
      <w:r w:rsidRPr="00FB0E4F">
        <w:rPr>
          <w:rFonts w:ascii="Arial" w:hAnsi="Arial" w:cs="Arial"/>
          <w:sz w:val="22"/>
          <w:szCs w:val="22"/>
        </w:rPr>
        <w:t xml:space="preserve"> </w:t>
      </w:r>
    </w:p>
    <w:p w14:paraId="5A741526" w14:textId="0E2B91DA" w:rsidR="00C05DDE" w:rsidRDefault="00C05DDE" w:rsidP="00DC0C81">
      <w:pPr>
        <w:widowControl w:val="0"/>
        <w:autoSpaceDE w:val="0"/>
        <w:autoSpaceDN w:val="0"/>
        <w:adjustRightInd w:val="0"/>
        <w:ind w:right="-36"/>
        <w:jc w:val="right"/>
        <w:rPr>
          <w:rFonts w:ascii="Arial" w:eastAsia="Arial" w:hAnsi="Arial" w:cs="Arial"/>
          <w:color w:val="000000"/>
          <w:sz w:val="22"/>
          <w:szCs w:val="22"/>
        </w:rPr>
      </w:pPr>
    </w:p>
    <w:p w14:paraId="388713FD" w14:textId="3116A8CD" w:rsidR="0071490C" w:rsidRDefault="0071490C" w:rsidP="00DC0C81">
      <w:pPr>
        <w:widowControl w:val="0"/>
        <w:autoSpaceDE w:val="0"/>
        <w:autoSpaceDN w:val="0"/>
        <w:adjustRightInd w:val="0"/>
        <w:ind w:right="-36"/>
        <w:jc w:val="right"/>
        <w:rPr>
          <w:rFonts w:ascii="Arial" w:eastAsia="Arial" w:hAnsi="Arial" w:cs="Arial"/>
          <w:color w:val="000000"/>
          <w:sz w:val="22"/>
          <w:szCs w:val="22"/>
        </w:rPr>
      </w:pPr>
    </w:p>
    <w:p w14:paraId="755C58F0" w14:textId="77777777" w:rsidR="00012E56" w:rsidRPr="007C3CD9" w:rsidRDefault="00012E56" w:rsidP="00012E56">
      <w:pPr>
        <w:pStyle w:val="Default"/>
        <w:ind w:left="3240" w:hanging="3240"/>
        <w:rPr>
          <w:color w:val="auto"/>
          <w:sz w:val="22"/>
          <w:szCs w:val="22"/>
        </w:rPr>
      </w:pPr>
      <w:r w:rsidRPr="007C3CD9">
        <w:rPr>
          <w:b/>
          <w:bCs/>
          <w:color w:val="auto"/>
          <w:sz w:val="22"/>
          <w:szCs w:val="22"/>
        </w:rPr>
        <w:t xml:space="preserve">RESOLUTION NO.  029 - 2022 – APPROVAL OF ADJUSTMENTS TO THE SILVER HIGH DEDUCTIBLE HEALTH PLAN </w:t>
      </w:r>
    </w:p>
    <w:p w14:paraId="72CCF48F" w14:textId="77777777" w:rsidR="00012E56" w:rsidRPr="007C3CD9" w:rsidRDefault="00012E56" w:rsidP="00012E56">
      <w:pPr>
        <w:pStyle w:val="Default"/>
        <w:rPr>
          <w:b/>
          <w:bCs/>
          <w:color w:val="auto"/>
          <w:sz w:val="22"/>
          <w:szCs w:val="22"/>
        </w:rPr>
      </w:pPr>
      <w:r w:rsidRPr="007C3CD9">
        <w:rPr>
          <w:b/>
          <w:bCs/>
          <w:color w:val="auto"/>
          <w:sz w:val="22"/>
          <w:szCs w:val="22"/>
        </w:rPr>
        <w:t xml:space="preserve"> </w:t>
      </w:r>
      <w:r w:rsidRPr="007C3CD9">
        <w:rPr>
          <w:b/>
          <w:bCs/>
          <w:color w:val="auto"/>
          <w:sz w:val="22"/>
          <w:szCs w:val="22"/>
        </w:rPr>
        <w:tab/>
      </w:r>
    </w:p>
    <w:p w14:paraId="3BCEF814" w14:textId="77777777" w:rsidR="00012E56" w:rsidRPr="007C3CD9" w:rsidRDefault="00012E56" w:rsidP="00012E56">
      <w:pPr>
        <w:pStyle w:val="Default"/>
        <w:rPr>
          <w:b/>
          <w:bCs/>
          <w:color w:val="auto"/>
          <w:sz w:val="22"/>
          <w:szCs w:val="22"/>
        </w:rPr>
      </w:pPr>
    </w:p>
    <w:p w14:paraId="0E0FE0EC" w14:textId="77777777" w:rsidR="00012E56" w:rsidRPr="007C3CD9" w:rsidRDefault="00012E56" w:rsidP="00012E56">
      <w:pPr>
        <w:pStyle w:val="Default"/>
        <w:rPr>
          <w:color w:val="auto"/>
          <w:sz w:val="22"/>
          <w:szCs w:val="22"/>
        </w:rPr>
      </w:pPr>
      <w:r w:rsidRPr="007C3CD9">
        <w:rPr>
          <w:b/>
          <w:bCs/>
          <w:color w:val="auto"/>
          <w:sz w:val="22"/>
          <w:szCs w:val="22"/>
        </w:rPr>
        <w:tab/>
      </w:r>
      <w:r w:rsidRPr="007C3CD9">
        <w:rPr>
          <w:bCs/>
          <w:color w:val="auto"/>
          <w:sz w:val="22"/>
          <w:szCs w:val="22"/>
        </w:rPr>
        <w:t xml:space="preserve">MOVED by Ms. Shawley seconded by Mr. Emerson, </w:t>
      </w:r>
      <w:r w:rsidRPr="007C3CD9">
        <w:rPr>
          <w:rFonts w:eastAsia="PMingLiU"/>
          <w:color w:val="auto"/>
          <w:sz w:val="22"/>
          <w:szCs w:val="22"/>
        </w:rPr>
        <w:t>the resolution was unanimously adopted by voice vote of members present, visibly seen members via remote Satellite locations, and locations due to extraordinary circumstances</w:t>
      </w:r>
      <w:r w:rsidRPr="007C3CD9">
        <w:rPr>
          <w:bCs/>
          <w:color w:val="auto"/>
          <w:sz w:val="22"/>
          <w:szCs w:val="22"/>
        </w:rPr>
        <w:t>.</w:t>
      </w:r>
    </w:p>
    <w:p w14:paraId="1234866B" w14:textId="77777777" w:rsidR="00012E56" w:rsidRPr="007C3CD9" w:rsidRDefault="00012E56" w:rsidP="00012E56">
      <w:pPr>
        <w:pStyle w:val="Default"/>
        <w:rPr>
          <w:color w:val="auto"/>
          <w:sz w:val="22"/>
          <w:szCs w:val="22"/>
        </w:rPr>
      </w:pPr>
    </w:p>
    <w:p w14:paraId="041571B2" w14:textId="77777777" w:rsidR="00012E56" w:rsidRPr="007C3CD9" w:rsidRDefault="00012E56" w:rsidP="00012E56">
      <w:pPr>
        <w:pStyle w:val="Default"/>
        <w:rPr>
          <w:color w:val="auto"/>
          <w:sz w:val="22"/>
          <w:szCs w:val="22"/>
        </w:rPr>
      </w:pPr>
    </w:p>
    <w:p w14:paraId="45B75D54" w14:textId="77777777" w:rsidR="00012E56" w:rsidRPr="007C3CD9" w:rsidRDefault="00012E56" w:rsidP="00012E56">
      <w:pPr>
        <w:pStyle w:val="Default"/>
        <w:tabs>
          <w:tab w:val="left" w:pos="720"/>
        </w:tabs>
        <w:jc w:val="both"/>
        <w:rPr>
          <w:color w:val="auto"/>
          <w:sz w:val="22"/>
          <w:szCs w:val="22"/>
        </w:rPr>
      </w:pPr>
      <w:r w:rsidRPr="007C3CD9">
        <w:rPr>
          <w:color w:val="auto"/>
          <w:sz w:val="22"/>
          <w:szCs w:val="22"/>
        </w:rPr>
        <w:tab/>
      </w:r>
      <w:proofErr w:type="gramStart"/>
      <w:r w:rsidRPr="007C3CD9">
        <w:rPr>
          <w:color w:val="auto"/>
          <w:sz w:val="22"/>
          <w:szCs w:val="22"/>
        </w:rPr>
        <w:t>WHEREAS,</w:t>
      </w:r>
      <w:proofErr w:type="gramEnd"/>
      <w:r w:rsidRPr="007C3CD9">
        <w:rPr>
          <w:color w:val="auto"/>
          <w:sz w:val="22"/>
          <w:szCs w:val="22"/>
        </w:rPr>
        <w:t xml:space="preserve"> the Consortium must annually review the actuarial values for its Metal Level Plans to ensure they each fall within the established ranges set by the Centers for Medicare and Medicaid Services (CMS), and </w:t>
      </w:r>
    </w:p>
    <w:p w14:paraId="26844B0A" w14:textId="77777777" w:rsidR="00012E56" w:rsidRPr="007C3CD9" w:rsidRDefault="00012E56" w:rsidP="00012E56">
      <w:pPr>
        <w:pStyle w:val="Default"/>
        <w:tabs>
          <w:tab w:val="left" w:pos="720"/>
        </w:tabs>
        <w:rPr>
          <w:color w:val="auto"/>
          <w:sz w:val="22"/>
          <w:szCs w:val="22"/>
        </w:rPr>
      </w:pPr>
    </w:p>
    <w:p w14:paraId="3C3F8B36" w14:textId="77777777" w:rsidR="00012E56" w:rsidRPr="007C3CD9" w:rsidRDefault="00012E56" w:rsidP="00012E56">
      <w:pPr>
        <w:pStyle w:val="Default"/>
        <w:tabs>
          <w:tab w:val="left" w:pos="720"/>
        </w:tabs>
        <w:jc w:val="both"/>
        <w:rPr>
          <w:color w:val="auto"/>
          <w:sz w:val="22"/>
          <w:szCs w:val="22"/>
        </w:rPr>
      </w:pPr>
      <w:r w:rsidRPr="007C3CD9">
        <w:rPr>
          <w:color w:val="auto"/>
          <w:sz w:val="22"/>
          <w:szCs w:val="22"/>
        </w:rPr>
        <w:tab/>
        <w:t xml:space="preserve">WHEREAS, upon entering data into the federal actuarial calculator for 2023 it has been determined that adjustments need to be made to the Silver High Deductible Health Plan, now therefore be it </w:t>
      </w:r>
    </w:p>
    <w:p w14:paraId="6CCC6284" w14:textId="77777777" w:rsidR="00012E56" w:rsidRPr="007C3CD9" w:rsidRDefault="00012E56" w:rsidP="00012E56">
      <w:pPr>
        <w:pStyle w:val="Default"/>
        <w:tabs>
          <w:tab w:val="left" w:pos="720"/>
        </w:tabs>
        <w:rPr>
          <w:color w:val="auto"/>
          <w:sz w:val="22"/>
          <w:szCs w:val="22"/>
        </w:rPr>
      </w:pPr>
    </w:p>
    <w:p w14:paraId="77EC623A" w14:textId="77777777" w:rsidR="00012E56" w:rsidRPr="007C3CD9" w:rsidRDefault="00012E56" w:rsidP="00012E56">
      <w:pPr>
        <w:pStyle w:val="Default"/>
        <w:tabs>
          <w:tab w:val="left" w:pos="720"/>
        </w:tabs>
        <w:jc w:val="both"/>
        <w:rPr>
          <w:color w:val="auto"/>
          <w:sz w:val="22"/>
          <w:szCs w:val="22"/>
        </w:rPr>
      </w:pPr>
      <w:r w:rsidRPr="007C3CD9">
        <w:rPr>
          <w:color w:val="auto"/>
          <w:sz w:val="22"/>
          <w:szCs w:val="22"/>
        </w:rPr>
        <w:tab/>
        <w:t xml:space="preserve">RESOLVED, on recommendation of the Executive Committee and the Joint Committee on Plan Structure and Design, </w:t>
      </w:r>
      <w:proofErr w:type="gramStart"/>
      <w:r w:rsidRPr="007C3CD9">
        <w:rPr>
          <w:color w:val="auto"/>
          <w:sz w:val="22"/>
          <w:szCs w:val="22"/>
        </w:rPr>
        <w:t>That</w:t>
      </w:r>
      <w:proofErr w:type="gramEnd"/>
      <w:r w:rsidRPr="007C3CD9">
        <w:rPr>
          <w:color w:val="auto"/>
          <w:sz w:val="22"/>
          <w:szCs w:val="22"/>
        </w:rPr>
        <w:t xml:space="preserve"> effective January 1, 2023, a benefit plan adjustment to the Coinsurance Amount, Deductible and Out-of-Pocket Maximum will be made to the Consortium’s Silver High Deductible Health Plan as follows: </w:t>
      </w:r>
    </w:p>
    <w:p w14:paraId="42814A13" w14:textId="77777777" w:rsidR="00012E56" w:rsidRPr="007C3CD9" w:rsidRDefault="00012E56" w:rsidP="00012E56">
      <w:pPr>
        <w:pStyle w:val="Default"/>
        <w:tabs>
          <w:tab w:val="left" w:pos="720"/>
        </w:tabs>
        <w:rPr>
          <w:color w:val="auto"/>
          <w:sz w:val="22"/>
          <w:szCs w:val="22"/>
        </w:rPr>
      </w:pPr>
    </w:p>
    <w:p w14:paraId="7503903E" w14:textId="77777777" w:rsidR="00012E56" w:rsidRPr="007C3CD9" w:rsidRDefault="00012E56" w:rsidP="00012E56">
      <w:pPr>
        <w:pStyle w:val="Default"/>
        <w:tabs>
          <w:tab w:val="left" w:pos="720"/>
        </w:tabs>
        <w:rPr>
          <w:color w:val="auto"/>
          <w:sz w:val="22"/>
          <w:szCs w:val="22"/>
        </w:rPr>
      </w:pPr>
    </w:p>
    <w:tbl>
      <w:tblPr>
        <w:tblW w:w="0" w:type="auto"/>
        <w:jc w:val="center"/>
        <w:tblCellMar>
          <w:left w:w="0" w:type="dxa"/>
          <w:right w:w="0" w:type="dxa"/>
        </w:tblCellMar>
        <w:tblLook w:val="04A0" w:firstRow="1" w:lastRow="0" w:firstColumn="1" w:lastColumn="0" w:noHBand="0" w:noVBand="1"/>
      </w:tblPr>
      <w:tblGrid>
        <w:gridCol w:w="2965"/>
        <w:gridCol w:w="1746"/>
        <w:gridCol w:w="1746"/>
        <w:gridCol w:w="1767"/>
        <w:gridCol w:w="1746"/>
      </w:tblGrid>
      <w:tr w:rsidR="00012E56" w:rsidRPr="007C3CD9" w14:paraId="033D445C" w14:textId="77777777" w:rsidTr="005F30D7">
        <w:trPr>
          <w:jc w:val="center"/>
        </w:trPr>
        <w:tc>
          <w:tcPr>
            <w:tcW w:w="3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19675" w14:textId="77777777" w:rsidR="00012E56" w:rsidRPr="007C3CD9" w:rsidRDefault="00012E56" w:rsidP="005F30D7">
            <w:pPr>
              <w:rPr>
                <w:rFonts w:ascii="Arial" w:hAnsi="Arial" w:cs="Arial"/>
                <w:b/>
                <w:bCs/>
                <w:sz w:val="22"/>
                <w:szCs w:val="22"/>
              </w:rPr>
            </w:pPr>
            <w:r w:rsidRPr="007C3CD9">
              <w:rPr>
                <w:rFonts w:ascii="Arial" w:hAnsi="Arial" w:cs="Arial"/>
                <w:b/>
                <w:bCs/>
              </w:rPr>
              <w:t>Silver HDHP</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B5CAC4" w14:textId="77777777" w:rsidR="00012E56" w:rsidRPr="007C3CD9" w:rsidRDefault="00012E56" w:rsidP="005F30D7">
            <w:pPr>
              <w:jc w:val="center"/>
              <w:rPr>
                <w:rFonts w:ascii="Arial" w:hAnsi="Arial" w:cs="Arial"/>
                <w:b/>
              </w:rPr>
            </w:pPr>
            <w:r w:rsidRPr="007C3CD9">
              <w:rPr>
                <w:rFonts w:ascii="Arial" w:hAnsi="Arial" w:cs="Arial"/>
                <w:b/>
              </w:rPr>
              <w:t>From</w:t>
            </w:r>
            <w:r w:rsidRPr="007C3CD9">
              <w:rPr>
                <w:rFonts w:ascii="Arial" w:hAnsi="Arial" w:cs="Arial"/>
                <w:b/>
              </w:rPr>
              <w:br/>
            </w:r>
            <w:r w:rsidRPr="007C3CD9">
              <w:rPr>
                <w:rFonts w:ascii="Arial" w:hAnsi="Arial" w:cs="Arial"/>
              </w:rPr>
              <w:t>In-Network</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3086E3" w14:textId="77777777" w:rsidR="00012E56" w:rsidRPr="007C3CD9" w:rsidRDefault="00012E56" w:rsidP="005F30D7">
            <w:pPr>
              <w:jc w:val="center"/>
              <w:rPr>
                <w:rFonts w:ascii="Arial" w:hAnsi="Arial" w:cs="Arial"/>
              </w:rPr>
            </w:pPr>
            <w:r w:rsidRPr="007C3CD9">
              <w:rPr>
                <w:rFonts w:ascii="Arial" w:hAnsi="Arial" w:cs="Arial"/>
                <w:b/>
                <w:bCs/>
              </w:rPr>
              <w:t>To</w:t>
            </w:r>
            <w:r w:rsidRPr="007C3CD9">
              <w:rPr>
                <w:rFonts w:ascii="Arial" w:hAnsi="Arial" w:cs="Arial"/>
              </w:rPr>
              <w:br/>
              <w:t>In-Network</w:t>
            </w:r>
          </w:p>
        </w:tc>
        <w:tc>
          <w:tcPr>
            <w:tcW w:w="1826" w:type="dxa"/>
            <w:tcBorders>
              <w:top w:val="single" w:sz="8" w:space="0" w:color="auto"/>
              <w:left w:val="nil"/>
              <w:bottom w:val="single" w:sz="8" w:space="0" w:color="auto"/>
              <w:right w:val="single" w:sz="8" w:space="0" w:color="auto"/>
            </w:tcBorders>
            <w:vAlign w:val="center"/>
          </w:tcPr>
          <w:p w14:paraId="2EB38975" w14:textId="77777777" w:rsidR="00012E56" w:rsidRPr="007C3CD9" w:rsidRDefault="00012E56" w:rsidP="005F30D7">
            <w:pPr>
              <w:jc w:val="center"/>
              <w:rPr>
                <w:rFonts w:ascii="Arial" w:hAnsi="Arial" w:cs="Arial"/>
                <w:b/>
              </w:rPr>
            </w:pPr>
            <w:r w:rsidRPr="007C3CD9">
              <w:rPr>
                <w:rFonts w:ascii="Arial" w:hAnsi="Arial" w:cs="Arial"/>
                <w:b/>
              </w:rPr>
              <w:t>From</w:t>
            </w:r>
          </w:p>
          <w:p w14:paraId="38AD22EC" w14:textId="77777777" w:rsidR="00012E56" w:rsidRPr="007C3CD9" w:rsidRDefault="00012E56" w:rsidP="005F30D7">
            <w:pPr>
              <w:jc w:val="center"/>
              <w:rPr>
                <w:rFonts w:ascii="Arial" w:hAnsi="Arial" w:cs="Arial"/>
              </w:rPr>
            </w:pPr>
            <w:r w:rsidRPr="007C3CD9">
              <w:rPr>
                <w:rFonts w:ascii="Arial" w:hAnsi="Arial" w:cs="Arial"/>
              </w:rPr>
              <w:t>Out-of-Network</w:t>
            </w:r>
          </w:p>
        </w:tc>
        <w:tc>
          <w:tcPr>
            <w:tcW w:w="1750" w:type="dxa"/>
            <w:tcBorders>
              <w:top w:val="single" w:sz="8" w:space="0" w:color="auto"/>
              <w:left w:val="nil"/>
              <w:bottom w:val="single" w:sz="8" w:space="0" w:color="auto"/>
              <w:right w:val="single" w:sz="8" w:space="0" w:color="auto"/>
            </w:tcBorders>
            <w:vAlign w:val="center"/>
          </w:tcPr>
          <w:p w14:paraId="65219445" w14:textId="77777777" w:rsidR="00012E56" w:rsidRPr="007C3CD9" w:rsidRDefault="00012E56" w:rsidP="005F30D7">
            <w:pPr>
              <w:jc w:val="center"/>
              <w:rPr>
                <w:rFonts w:ascii="Arial" w:hAnsi="Arial" w:cs="Arial"/>
              </w:rPr>
            </w:pPr>
            <w:r w:rsidRPr="007C3CD9">
              <w:rPr>
                <w:rFonts w:ascii="Arial" w:hAnsi="Arial" w:cs="Arial"/>
                <w:b/>
              </w:rPr>
              <w:t>To</w:t>
            </w:r>
          </w:p>
          <w:p w14:paraId="5442016B" w14:textId="77777777" w:rsidR="00012E56" w:rsidRPr="007C3CD9" w:rsidRDefault="00012E56" w:rsidP="005F30D7">
            <w:pPr>
              <w:jc w:val="center"/>
              <w:rPr>
                <w:rFonts w:ascii="Arial" w:hAnsi="Arial" w:cs="Arial"/>
                <w:b/>
              </w:rPr>
            </w:pPr>
            <w:r w:rsidRPr="007C3CD9">
              <w:rPr>
                <w:rFonts w:ascii="Arial" w:hAnsi="Arial" w:cs="Arial"/>
              </w:rPr>
              <w:t>Out-of-Network</w:t>
            </w:r>
          </w:p>
        </w:tc>
      </w:tr>
      <w:tr w:rsidR="00012E56" w:rsidRPr="007C3CD9" w14:paraId="25AAD8D9" w14:textId="77777777" w:rsidTr="00CC03E6">
        <w:trPr>
          <w:trHeight w:hRule="exact" w:val="704"/>
          <w:jc w:val="center"/>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432C5" w14:textId="77777777" w:rsidR="00012E56" w:rsidRPr="007C3CD9" w:rsidRDefault="00012E56" w:rsidP="005F30D7">
            <w:pPr>
              <w:rPr>
                <w:rFonts w:ascii="Arial" w:hAnsi="Arial" w:cs="Arial"/>
              </w:rPr>
            </w:pPr>
            <w:r w:rsidRPr="007C3CD9">
              <w:rPr>
                <w:rFonts w:ascii="Arial" w:hAnsi="Arial" w:cs="Arial"/>
              </w:rPr>
              <w:t xml:space="preserve">   Deductible Single/Family</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C95FE"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$2,500/$5,000</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32DBB"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$2,750/$5,500</w:t>
            </w:r>
          </w:p>
        </w:tc>
        <w:tc>
          <w:tcPr>
            <w:tcW w:w="1826" w:type="dxa"/>
            <w:tcBorders>
              <w:top w:val="nil"/>
              <w:left w:val="nil"/>
              <w:bottom w:val="single" w:sz="8" w:space="0" w:color="auto"/>
              <w:right w:val="single" w:sz="8" w:space="0" w:color="auto"/>
            </w:tcBorders>
            <w:vAlign w:val="center"/>
          </w:tcPr>
          <w:p w14:paraId="6A1E2D75"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$3,750/$7,500</w:t>
            </w:r>
          </w:p>
        </w:tc>
        <w:tc>
          <w:tcPr>
            <w:tcW w:w="1750" w:type="dxa"/>
            <w:tcBorders>
              <w:top w:val="nil"/>
              <w:left w:val="nil"/>
              <w:bottom w:val="single" w:sz="8" w:space="0" w:color="auto"/>
              <w:right w:val="single" w:sz="8" w:space="0" w:color="auto"/>
            </w:tcBorders>
            <w:vAlign w:val="center"/>
          </w:tcPr>
          <w:p w14:paraId="22C2C922"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$4,125/$8,250</w:t>
            </w:r>
          </w:p>
        </w:tc>
      </w:tr>
      <w:tr w:rsidR="00012E56" w:rsidRPr="007C3CD9" w14:paraId="0303BD39" w14:textId="77777777" w:rsidTr="00CC03E6">
        <w:trPr>
          <w:trHeight w:hRule="exact" w:val="704"/>
          <w:jc w:val="center"/>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DB8DA" w14:textId="77777777" w:rsidR="00012E56" w:rsidRPr="007C3CD9" w:rsidRDefault="00012E56" w:rsidP="005F30D7">
            <w:pPr>
              <w:rPr>
                <w:rFonts w:ascii="Arial" w:hAnsi="Arial" w:cs="Arial"/>
              </w:rPr>
            </w:pPr>
            <w:r w:rsidRPr="007C3CD9">
              <w:rPr>
                <w:rFonts w:ascii="Arial" w:hAnsi="Arial" w:cs="Arial"/>
              </w:rPr>
              <w:t xml:space="preserve">   Out-of-Pocket Single/Family</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949A2"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$6,000/$12,000</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A756F"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$7,000/$14,000</w:t>
            </w:r>
          </w:p>
        </w:tc>
        <w:tc>
          <w:tcPr>
            <w:tcW w:w="1826" w:type="dxa"/>
            <w:tcBorders>
              <w:top w:val="nil"/>
              <w:left w:val="nil"/>
              <w:bottom w:val="single" w:sz="8" w:space="0" w:color="auto"/>
              <w:right w:val="single" w:sz="8" w:space="0" w:color="auto"/>
            </w:tcBorders>
            <w:vAlign w:val="center"/>
          </w:tcPr>
          <w:p w14:paraId="44881C42"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$9,000/$18,000</w:t>
            </w:r>
          </w:p>
        </w:tc>
        <w:tc>
          <w:tcPr>
            <w:tcW w:w="1750" w:type="dxa"/>
            <w:tcBorders>
              <w:top w:val="nil"/>
              <w:left w:val="nil"/>
              <w:bottom w:val="single" w:sz="8" w:space="0" w:color="auto"/>
              <w:right w:val="single" w:sz="8" w:space="0" w:color="auto"/>
            </w:tcBorders>
            <w:vAlign w:val="center"/>
          </w:tcPr>
          <w:p w14:paraId="34B0F069"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$10,500//$21,000</w:t>
            </w:r>
          </w:p>
        </w:tc>
      </w:tr>
      <w:tr w:rsidR="00012E56" w:rsidRPr="007C3CD9" w14:paraId="68027A08" w14:textId="77777777" w:rsidTr="005F30D7">
        <w:trPr>
          <w:trHeight w:hRule="exact" w:val="360"/>
          <w:jc w:val="center"/>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7ED55A" w14:textId="77777777" w:rsidR="00012E56" w:rsidRPr="007C3CD9" w:rsidRDefault="00012E56" w:rsidP="005F30D7">
            <w:pPr>
              <w:rPr>
                <w:rFonts w:ascii="Arial" w:hAnsi="Arial" w:cs="Arial"/>
              </w:rPr>
            </w:pPr>
            <w:r w:rsidRPr="007C3CD9">
              <w:rPr>
                <w:rFonts w:ascii="Arial" w:hAnsi="Arial" w:cs="Arial"/>
              </w:rPr>
              <w:t xml:space="preserve">   Coinsurance Amount</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BA687"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70%</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068CD"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80%</w:t>
            </w:r>
          </w:p>
        </w:tc>
        <w:tc>
          <w:tcPr>
            <w:tcW w:w="1826" w:type="dxa"/>
            <w:tcBorders>
              <w:top w:val="nil"/>
              <w:left w:val="nil"/>
              <w:bottom w:val="single" w:sz="8" w:space="0" w:color="auto"/>
              <w:right w:val="single" w:sz="8" w:space="0" w:color="auto"/>
            </w:tcBorders>
            <w:vAlign w:val="center"/>
          </w:tcPr>
          <w:p w14:paraId="74815F8E"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50%</w:t>
            </w:r>
          </w:p>
        </w:tc>
        <w:tc>
          <w:tcPr>
            <w:tcW w:w="1750" w:type="dxa"/>
            <w:tcBorders>
              <w:top w:val="nil"/>
              <w:left w:val="nil"/>
              <w:bottom w:val="single" w:sz="8" w:space="0" w:color="auto"/>
              <w:right w:val="single" w:sz="8" w:space="0" w:color="auto"/>
            </w:tcBorders>
            <w:vAlign w:val="center"/>
          </w:tcPr>
          <w:p w14:paraId="223BB7AF"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50%</w:t>
            </w:r>
          </w:p>
        </w:tc>
      </w:tr>
      <w:tr w:rsidR="00012E56" w:rsidRPr="007C3CD9" w14:paraId="1A7696C3" w14:textId="77777777" w:rsidTr="005F30D7">
        <w:trPr>
          <w:trHeight w:hRule="exact" w:val="360"/>
          <w:jc w:val="center"/>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06D5B" w14:textId="77777777" w:rsidR="00012E56" w:rsidRPr="007C3CD9" w:rsidRDefault="00012E56" w:rsidP="005F30D7">
            <w:pPr>
              <w:rPr>
                <w:rFonts w:ascii="Arial" w:hAnsi="Arial" w:cs="Arial"/>
              </w:rPr>
            </w:pPr>
            <w:r w:rsidRPr="007C3CD9">
              <w:rPr>
                <w:rFonts w:ascii="Arial" w:hAnsi="Arial" w:cs="Arial"/>
              </w:rPr>
              <w:t xml:space="preserve">   Actuarial Value</w:t>
            </w:r>
          </w:p>
        </w:tc>
        <w:tc>
          <w:tcPr>
            <w:tcW w:w="1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01DD8"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72.91%</w:t>
            </w:r>
          </w:p>
          <w:p w14:paraId="35C59C85" w14:textId="77777777" w:rsidR="00012E56" w:rsidRPr="007C3CD9" w:rsidRDefault="00012E56" w:rsidP="005F30D7">
            <w:pPr>
              <w:jc w:val="center"/>
              <w:rPr>
                <w:rFonts w:ascii="Arial" w:hAnsi="Arial" w:cs="Arial"/>
                <w:sz w:val="22"/>
                <w:szCs w:val="22"/>
              </w:rPr>
            </w:pP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264DE"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71.83%</w:t>
            </w:r>
          </w:p>
        </w:tc>
        <w:tc>
          <w:tcPr>
            <w:tcW w:w="1826" w:type="dxa"/>
            <w:tcBorders>
              <w:top w:val="nil"/>
              <w:left w:val="nil"/>
              <w:bottom w:val="single" w:sz="8" w:space="0" w:color="auto"/>
              <w:right w:val="single" w:sz="8" w:space="0" w:color="auto"/>
            </w:tcBorders>
            <w:vAlign w:val="center"/>
          </w:tcPr>
          <w:p w14:paraId="51B48E96"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72.91%</w:t>
            </w:r>
          </w:p>
        </w:tc>
        <w:tc>
          <w:tcPr>
            <w:tcW w:w="1750" w:type="dxa"/>
            <w:tcBorders>
              <w:top w:val="nil"/>
              <w:left w:val="nil"/>
              <w:bottom w:val="single" w:sz="8" w:space="0" w:color="auto"/>
              <w:right w:val="single" w:sz="8" w:space="0" w:color="auto"/>
            </w:tcBorders>
            <w:vAlign w:val="center"/>
          </w:tcPr>
          <w:p w14:paraId="16CEE6BD" w14:textId="77777777" w:rsidR="00012E56" w:rsidRPr="007C3CD9" w:rsidRDefault="00012E56" w:rsidP="005F30D7">
            <w:pPr>
              <w:jc w:val="center"/>
              <w:rPr>
                <w:rFonts w:ascii="Arial" w:hAnsi="Arial" w:cs="Arial"/>
                <w:sz w:val="22"/>
                <w:szCs w:val="22"/>
              </w:rPr>
            </w:pPr>
            <w:r w:rsidRPr="007C3CD9">
              <w:rPr>
                <w:rFonts w:ascii="Arial" w:hAnsi="Arial" w:cs="Arial"/>
                <w:sz w:val="22"/>
                <w:szCs w:val="22"/>
              </w:rPr>
              <w:t>71.83%</w:t>
            </w:r>
          </w:p>
        </w:tc>
      </w:tr>
    </w:tbl>
    <w:p w14:paraId="52826FDC" w14:textId="77777777" w:rsidR="00012E56" w:rsidRPr="007C3CD9" w:rsidRDefault="00012E56" w:rsidP="00012E56">
      <w:pPr>
        <w:pStyle w:val="NoSpacing"/>
        <w:ind w:left="3150" w:hanging="3150"/>
        <w:jc w:val="center"/>
        <w:rPr>
          <w:rFonts w:ascii="Arial" w:hAnsi="Arial" w:cs="Arial"/>
          <w:b/>
        </w:rPr>
      </w:pPr>
    </w:p>
    <w:p w14:paraId="710A2D86" w14:textId="77777777" w:rsidR="00012E56" w:rsidRPr="007C3CD9" w:rsidRDefault="00012E56" w:rsidP="00012E56">
      <w:pPr>
        <w:pStyle w:val="NoSpacing"/>
        <w:ind w:left="3150" w:hanging="3150"/>
        <w:jc w:val="center"/>
        <w:rPr>
          <w:rFonts w:ascii="Arial" w:hAnsi="Arial" w:cs="Arial"/>
          <w:b/>
        </w:rPr>
      </w:pPr>
    </w:p>
    <w:p w14:paraId="2E816F62" w14:textId="77777777" w:rsidR="00012E56" w:rsidRPr="007C3CD9" w:rsidRDefault="00012E56" w:rsidP="00012E56">
      <w:pPr>
        <w:pStyle w:val="NoSpacing"/>
        <w:ind w:left="3150" w:hanging="3150"/>
        <w:jc w:val="center"/>
        <w:rPr>
          <w:rFonts w:ascii="Arial" w:hAnsi="Arial" w:cs="Arial"/>
          <w:b/>
        </w:rPr>
      </w:pPr>
      <w:r w:rsidRPr="007C3CD9">
        <w:rPr>
          <w:rFonts w:ascii="Arial" w:hAnsi="Arial" w:cs="Arial"/>
          <w:b/>
        </w:rPr>
        <w:t>* * * * * * * * * *</w:t>
      </w:r>
    </w:p>
    <w:p w14:paraId="5DA239F6" w14:textId="77777777" w:rsidR="003E6D92" w:rsidRPr="00737A49" w:rsidRDefault="003E6D92" w:rsidP="003E6D92">
      <w:pPr>
        <w:widowControl w:val="0"/>
        <w:tabs>
          <w:tab w:val="left" w:pos="1080"/>
        </w:tabs>
        <w:autoSpaceDE w:val="0"/>
        <w:autoSpaceDN w:val="0"/>
        <w:spacing w:before="1"/>
        <w:ind w:left="1080" w:right="948" w:hanging="630"/>
        <w:jc w:val="both"/>
        <w:rPr>
          <w:rFonts w:ascii="Arial" w:eastAsia="Arial" w:hAnsi="Arial" w:cs="Arial"/>
          <w:sz w:val="22"/>
          <w:szCs w:val="22"/>
        </w:rPr>
      </w:pPr>
    </w:p>
    <w:p w14:paraId="33966FE1" w14:textId="77777777" w:rsidR="003E6D92" w:rsidRPr="00737A49" w:rsidRDefault="003E6D92" w:rsidP="003E6D92">
      <w:pPr>
        <w:widowControl w:val="0"/>
        <w:autoSpaceDE w:val="0"/>
        <w:autoSpaceDN w:val="0"/>
        <w:spacing w:line="251" w:lineRule="exact"/>
        <w:ind w:right="973"/>
        <w:jc w:val="center"/>
        <w:rPr>
          <w:rFonts w:ascii="Arial" w:hAnsi="Arial" w:cs="Arial"/>
          <w:sz w:val="22"/>
          <w:szCs w:val="22"/>
        </w:rPr>
      </w:pP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10"/>
          <w:sz w:val="22"/>
          <w:szCs w:val="22"/>
        </w:rPr>
        <w:t xml:space="preserve"> </w:t>
      </w:r>
      <w:r w:rsidRPr="00737A49">
        <w:rPr>
          <w:rFonts w:ascii="Arial" w:hAnsi="Arial" w:cs="Arial"/>
          <w:sz w:val="22"/>
          <w:szCs w:val="22"/>
        </w:rPr>
        <w:t>*</w:t>
      </w:r>
      <w:r w:rsidRPr="00737A49">
        <w:rPr>
          <w:rFonts w:ascii="Arial" w:hAnsi="Arial" w:cs="Arial"/>
          <w:spacing w:val="-8"/>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z w:val="22"/>
          <w:szCs w:val="22"/>
        </w:rPr>
        <w:t>*</w:t>
      </w:r>
      <w:r w:rsidRPr="00737A49">
        <w:rPr>
          <w:rFonts w:ascii="Arial" w:hAnsi="Arial" w:cs="Arial"/>
          <w:spacing w:val="-8"/>
          <w:sz w:val="22"/>
          <w:szCs w:val="22"/>
        </w:rPr>
        <w:t xml:space="preserve"> </w:t>
      </w:r>
      <w:r w:rsidRPr="00737A49">
        <w:rPr>
          <w:rFonts w:ascii="Arial" w:hAnsi="Arial" w:cs="Arial"/>
          <w:sz w:val="22"/>
          <w:szCs w:val="22"/>
        </w:rPr>
        <w:t>*</w:t>
      </w:r>
      <w:r w:rsidRPr="00737A49">
        <w:rPr>
          <w:rFonts w:ascii="Arial" w:hAnsi="Arial" w:cs="Arial"/>
          <w:spacing w:val="-6"/>
          <w:sz w:val="22"/>
          <w:szCs w:val="22"/>
        </w:rPr>
        <w:t xml:space="preserve"> </w:t>
      </w:r>
      <w:r w:rsidRPr="00737A49">
        <w:rPr>
          <w:rFonts w:ascii="Arial" w:hAnsi="Arial" w:cs="Arial"/>
          <w:spacing w:val="-10"/>
          <w:sz w:val="22"/>
          <w:szCs w:val="22"/>
        </w:rPr>
        <w:t>*</w:t>
      </w:r>
    </w:p>
    <w:p w14:paraId="2D4ED897" w14:textId="77777777" w:rsidR="003E6D92" w:rsidRPr="007C3CD9" w:rsidRDefault="003E6D92" w:rsidP="003E6D92">
      <w:pPr>
        <w:rPr>
          <w:rFonts w:ascii="Arial" w:hAnsi="Arial" w:cs="Arial"/>
          <w:b/>
          <w:sz w:val="22"/>
          <w:szCs w:val="22"/>
          <w:u w:val="single"/>
        </w:rPr>
      </w:pPr>
    </w:p>
    <w:p w14:paraId="67846C13" w14:textId="20269DBD" w:rsidR="0071490C" w:rsidRDefault="0071490C" w:rsidP="0071490C">
      <w:pPr>
        <w:rPr>
          <w:rFonts w:ascii="Arial" w:eastAsia="Calibri" w:hAnsi="Arial" w:cs="Arial"/>
          <w:b/>
          <w:bCs/>
          <w:sz w:val="22"/>
          <w:szCs w:val="22"/>
        </w:rPr>
      </w:pPr>
    </w:p>
    <w:p w14:paraId="6B0DC00A" w14:textId="047E258B" w:rsidR="00F35732" w:rsidRDefault="00B9403F" w:rsidP="0071490C">
      <w:pPr>
        <w:rPr>
          <w:rFonts w:ascii="Arial" w:eastAsia="Calibri" w:hAnsi="Arial" w:cs="Arial"/>
          <w:b/>
          <w:bCs/>
          <w:sz w:val="22"/>
          <w:szCs w:val="22"/>
        </w:rPr>
      </w:pPr>
      <w:r>
        <w:rPr>
          <w:noProof/>
        </w:rPr>
        <w:drawing>
          <wp:anchor distT="0" distB="0" distL="114300" distR="114300" simplePos="0" relativeHeight="251659264" behindDoc="0" locked="0" layoutInCell="1" allowOverlap="1" wp14:anchorId="0FCF18B7" wp14:editId="07D0BB96">
            <wp:simplePos x="0" y="0"/>
            <wp:positionH relativeFrom="column">
              <wp:posOffset>-157903</wp:posOffset>
            </wp:positionH>
            <wp:positionV relativeFrom="paragraph">
              <wp:posOffset>-579120</wp:posOffset>
            </wp:positionV>
            <wp:extent cx="6646333" cy="1955665"/>
            <wp:effectExtent l="0" t="0" r="2540" b="6985"/>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46333" cy="1955665"/>
                    </a:xfrm>
                    <a:prstGeom prst="rect">
                      <a:avLst/>
                    </a:prstGeom>
                  </pic:spPr>
                </pic:pic>
              </a:graphicData>
            </a:graphic>
            <wp14:sizeRelH relativeFrom="margin">
              <wp14:pctWidth>0</wp14:pctWidth>
            </wp14:sizeRelH>
            <wp14:sizeRelV relativeFrom="margin">
              <wp14:pctHeight>0</wp14:pctHeight>
            </wp14:sizeRelV>
          </wp:anchor>
        </w:drawing>
      </w:r>
    </w:p>
    <w:p w14:paraId="05D7A01E" w14:textId="234BED7C" w:rsidR="00F35732" w:rsidRDefault="00F35732" w:rsidP="0071490C">
      <w:pPr>
        <w:rPr>
          <w:rFonts w:ascii="Arial" w:eastAsia="Arial" w:hAnsi="Arial" w:cs="Arial"/>
          <w:color w:val="000000"/>
          <w:sz w:val="22"/>
          <w:szCs w:val="22"/>
        </w:rPr>
      </w:pPr>
    </w:p>
    <w:p w14:paraId="6152355E" w14:textId="3FB85045" w:rsidR="00AC3FA8" w:rsidRDefault="00AC3FA8" w:rsidP="0071490C">
      <w:pPr>
        <w:rPr>
          <w:rFonts w:ascii="Arial" w:eastAsia="Arial" w:hAnsi="Arial" w:cs="Arial"/>
          <w:color w:val="000000"/>
          <w:sz w:val="22"/>
          <w:szCs w:val="22"/>
        </w:rPr>
      </w:pPr>
    </w:p>
    <w:p w14:paraId="68DA3D2F" w14:textId="153B1D3A" w:rsidR="0071490C" w:rsidRDefault="0071490C" w:rsidP="0071490C">
      <w:pPr>
        <w:rPr>
          <w:rFonts w:ascii="Arial" w:eastAsia="Arial" w:hAnsi="Arial" w:cs="Arial"/>
          <w:sz w:val="22"/>
          <w:szCs w:val="22"/>
        </w:rPr>
      </w:pPr>
    </w:p>
    <w:p w14:paraId="5FE5DF27" w14:textId="07FA6E1C" w:rsidR="0071490C" w:rsidRPr="0071490C" w:rsidRDefault="0071490C" w:rsidP="0071490C">
      <w:pPr>
        <w:rPr>
          <w:rFonts w:ascii="Arial" w:eastAsia="Arial" w:hAnsi="Arial" w:cs="Arial"/>
          <w:sz w:val="22"/>
          <w:szCs w:val="22"/>
        </w:rPr>
      </w:pPr>
    </w:p>
    <w:sectPr w:rsidR="0071490C" w:rsidRPr="0071490C" w:rsidSect="00FB0E4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90" w:left="117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A177" w14:textId="77777777" w:rsidR="00430DFD" w:rsidRDefault="00430DFD">
      <w:r>
        <w:separator/>
      </w:r>
    </w:p>
  </w:endnote>
  <w:endnote w:type="continuationSeparator" w:id="0">
    <w:p w14:paraId="0D85888C" w14:textId="77777777" w:rsidR="00430DFD" w:rsidRDefault="0043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EDB" w14:textId="77777777" w:rsidR="0071490C" w:rsidRDefault="0071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3DDE" w14:textId="77777777" w:rsidR="00430DFD" w:rsidRDefault="00430DFD">
      <w:bookmarkStart w:id="0" w:name="_Hlk105490446"/>
      <w:bookmarkEnd w:id="0"/>
      <w:r>
        <w:separator/>
      </w:r>
    </w:p>
  </w:footnote>
  <w:footnote w:type="continuationSeparator" w:id="0">
    <w:p w14:paraId="08F4B57C" w14:textId="77777777" w:rsidR="00430DFD" w:rsidRDefault="0043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011" w14:textId="77777777" w:rsidR="0071490C" w:rsidRDefault="0071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47B30A03"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815B44"/>
    <w:multiLevelType w:val="hybridMultilevel"/>
    <w:tmpl w:val="02A28096"/>
    <w:lvl w:ilvl="0" w:tplc="5B38EE56">
      <w:numFmt w:val="bullet"/>
      <w:lvlText w:val="•"/>
      <w:lvlJc w:val="left"/>
      <w:pPr>
        <w:ind w:left="2640" w:hanging="140"/>
      </w:pPr>
      <w:rPr>
        <w:rFonts w:ascii="Arial" w:eastAsia="Arial" w:hAnsi="Arial" w:cs="Arial" w:hint="default"/>
        <w:b w:val="0"/>
        <w:bCs w:val="0"/>
        <w:i w:val="0"/>
        <w:iCs w:val="0"/>
        <w:w w:val="100"/>
        <w:sz w:val="22"/>
        <w:szCs w:val="22"/>
        <w:lang w:val="en-US" w:eastAsia="en-US" w:bidi="ar-SA"/>
      </w:rPr>
    </w:lvl>
    <w:lvl w:ilvl="1" w:tplc="FEC20D86">
      <w:numFmt w:val="bullet"/>
      <w:lvlText w:val="•"/>
      <w:lvlJc w:val="left"/>
      <w:pPr>
        <w:ind w:left="3546" w:hanging="140"/>
      </w:pPr>
      <w:rPr>
        <w:rFonts w:hint="default"/>
        <w:lang w:val="en-US" w:eastAsia="en-US" w:bidi="ar-SA"/>
      </w:rPr>
    </w:lvl>
    <w:lvl w:ilvl="2" w:tplc="44165A0C">
      <w:numFmt w:val="bullet"/>
      <w:lvlText w:val="•"/>
      <w:lvlJc w:val="left"/>
      <w:pPr>
        <w:ind w:left="4452" w:hanging="140"/>
      </w:pPr>
      <w:rPr>
        <w:rFonts w:hint="default"/>
        <w:lang w:val="en-US" w:eastAsia="en-US" w:bidi="ar-SA"/>
      </w:rPr>
    </w:lvl>
    <w:lvl w:ilvl="3" w:tplc="E54AF968">
      <w:numFmt w:val="bullet"/>
      <w:lvlText w:val="•"/>
      <w:lvlJc w:val="left"/>
      <w:pPr>
        <w:ind w:left="5358" w:hanging="140"/>
      </w:pPr>
      <w:rPr>
        <w:rFonts w:hint="default"/>
        <w:lang w:val="en-US" w:eastAsia="en-US" w:bidi="ar-SA"/>
      </w:rPr>
    </w:lvl>
    <w:lvl w:ilvl="4" w:tplc="BCD267C4">
      <w:numFmt w:val="bullet"/>
      <w:lvlText w:val="•"/>
      <w:lvlJc w:val="left"/>
      <w:pPr>
        <w:ind w:left="6264" w:hanging="140"/>
      </w:pPr>
      <w:rPr>
        <w:rFonts w:hint="default"/>
        <w:lang w:val="en-US" w:eastAsia="en-US" w:bidi="ar-SA"/>
      </w:rPr>
    </w:lvl>
    <w:lvl w:ilvl="5" w:tplc="4A2E2470">
      <w:numFmt w:val="bullet"/>
      <w:lvlText w:val="•"/>
      <w:lvlJc w:val="left"/>
      <w:pPr>
        <w:ind w:left="7170" w:hanging="140"/>
      </w:pPr>
      <w:rPr>
        <w:rFonts w:hint="default"/>
        <w:lang w:val="en-US" w:eastAsia="en-US" w:bidi="ar-SA"/>
      </w:rPr>
    </w:lvl>
    <w:lvl w:ilvl="6" w:tplc="52D2D276">
      <w:numFmt w:val="bullet"/>
      <w:lvlText w:val="•"/>
      <w:lvlJc w:val="left"/>
      <w:pPr>
        <w:ind w:left="8076" w:hanging="140"/>
      </w:pPr>
      <w:rPr>
        <w:rFonts w:hint="default"/>
        <w:lang w:val="en-US" w:eastAsia="en-US" w:bidi="ar-SA"/>
      </w:rPr>
    </w:lvl>
    <w:lvl w:ilvl="7" w:tplc="8B54C162">
      <w:numFmt w:val="bullet"/>
      <w:lvlText w:val="•"/>
      <w:lvlJc w:val="left"/>
      <w:pPr>
        <w:ind w:left="8982" w:hanging="140"/>
      </w:pPr>
      <w:rPr>
        <w:rFonts w:hint="default"/>
        <w:lang w:val="en-US" w:eastAsia="en-US" w:bidi="ar-SA"/>
      </w:rPr>
    </w:lvl>
    <w:lvl w:ilvl="8" w:tplc="45986ABC">
      <w:numFmt w:val="bullet"/>
      <w:lvlText w:val="•"/>
      <w:lvlJc w:val="left"/>
      <w:pPr>
        <w:ind w:left="9888" w:hanging="140"/>
      </w:pPr>
      <w:rPr>
        <w:rFonts w:hint="default"/>
        <w:lang w:val="en-US" w:eastAsia="en-US" w:bidi="ar-SA"/>
      </w:rPr>
    </w:lvl>
  </w:abstractNum>
  <w:abstractNum w:abstractNumId="6"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259293">
    <w:abstractNumId w:val="6"/>
  </w:num>
  <w:num w:numId="2" w16cid:durableId="1852984043">
    <w:abstractNumId w:val="3"/>
  </w:num>
  <w:num w:numId="3" w16cid:durableId="1354191927">
    <w:abstractNumId w:val="0"/>
  </w:num>
  <w:num w:numId="4" w16cid:durableId="797525538">
    <w:abstractNumId w:val="1"/>
  </w:num>
  <w:num w:numId="5" w16cid:durableId="1775204372">
    <w:abstractNumId w:val="4"/>
  </w:num>
  <w:num w:numId="6" w16cid:durableId="1835101442">
    <w:abstractNumId w:val="2"/>
  </w:num>
  <w:num w:numId="7" w16cid:durableId="655913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12E56"/>
    <w:rsid w:val="000639F5"/>
    <w:rsid w:val="00076D9F"/>
    <w:rsid w:val="00081165"/>
    <w:rsid w:val="000855DC"/>
    <w:rsid w:val="00093083"/>
    <w:rsid w:val="000D0F59"/>
    <w:rsid w:val="000D63DE"/>
    <w:rsid w:val="000E00FA"/>
    <w:rsid w:val="000E5F12"/>
    <w:rsid w:val="000F01E9"/>
    <w:rsid w:val="0014623F"/>
    <w:rsid w:val="00151FCD"/>
    <w:rsid w:val="00153706"/>
    <w:rsid w:val="00157F2D"/>
    <w:rsid w:val="0016060C"/>
    <w:rsid w:val="001709C3"/>
    <w:rsid w:val="0017737A"/>
    <w:rsid w:val="00180BFD"/>
    <w:rsid w:val="00191C73"/>
    <w:rsid w:val="001A5D1A"/>
    <w:rsid w:val="001E04E1"/>
    <w:rsid w:val="002157F0"/>
    <w:rsid w:val="00215FB8"/>
    <w:rsid w:val="00220F0F"/>
    <w:rsid w:val="00222109"/>
    <w:rsid w:val="002617B4"/>
    <w:rsid w:val="00264AD8"/>
    <w:rsid w:val="00287847"/>
    <w:rsid w:val="00297C60"/>
    <w:rsid w:val="002B09D8"/>
    <w:rsid w:val="002B7350"/>
    <w:rsid w:val="002F1D13"/>
    <w:rsid w:val="0030612D"/>
    <w:rsid w:val="00314B28"/>
    <w:rsid w:val="00325E72"/>
    <w:rsid w:val="00345A8F"/>
    <w:rsid w:val="0035431C"/>
    <w:rsid w:val="0035634E"/>
    <w:rsid w:val="003611A6"/>
    <w:rsid w:val="00390788"/>
    <w:rsid w:val="00393E2D"/>
    <w:rsid w:val="003A488F"/>
    <w:rsid w:val="003B2682"/>
    <w:rsid w:val="003B4E28"/>
    <w:rsid w:val="003C4983"/>
    <w:rsid w:val="003E1846"/>
    <w:rsid w:val="003E6D92"/>
    <w:rsid w:val="003F35E9"/>
    <w:rsid w:val="00411239"/>
    <w:rsid w:val="00430DFD"/>
    <w:rsid w:val="00437B4E"/>
    <w:rsid w:val="004553CC"/>
    <w:rsid w:val="0045662B"/>
    <w:rsid w:val="00483BA2"/>
    <w:rsid w:val="00495206"/>
    <w:rsid w:val="00497C2B"/>
    <w:rsid w:val="004A1DA4"/>
    <w:rsid w:val="004B1A29"/>
    <w:rsid w:val="004C56CC"/>
    <w:rsid w:val="004D17F5"/>
    <w:rsid w:val="004F2505"/>
    <w:rsid w:val="004F4B9C"/>
    <w:rsid w:val="004F7AC9"/>
    <w:rsid w:val="005231D3"/>
    <w:rsid w:val="005256C3"/>
    <w:rsid w:val="0053780F"/>
    <w:rsid w:val="005431B8"/>
    <w:rsid w:val="00580DD5"/>
    <w:rsid w:val="00585393"/>
    <w:rsid w:val="00591A38"/>
    <w:rsid w:val="005D197B"/>
    <w:rsid w:val="005E4FED"/>
    <w:rsid w:val="005E5CE4"/>
    <w:rsid w:val="0063101E"/>
    <w:rsid w:val="00650B62"/>
    <w:rsid w:val="00655A22"/>
    <w:rsid w:val="00665E0E"/>
    <w:rsid w:val="00673797"/>
    <w:rsid w:val="0067427E"/>
    <w:rsid w:val="00683D1A"/>
    <w:rsid w:val="00691128"/>
    <w:rsid w:val="006A7A27"/>
    <w:rsid w:val="006E6E8D"/>
    <w:rsid w:val="006E7221"/>
    <w:rsid w:val="006F28C0"/>
    <w:rsid w:val="00714678"/>
    <w:rsid w:val="0071490C"/>
    <w:rsid w:val="00754A9B"/>
    <w:rsid w:val="0075534B"/>
    <w:rsid w:val="00760233"/>
    <w:rsid w:val="007611F4"/>
    <w:rsid w:val="007855D9"/>
    <w:rsid w:val="007948C5"/>
    <w:rsid w:val="007A05BF"/>
    <w:rsid w:val="007A5170"/>
    <w:rsid w:val="007B4868"/>
    <w:rsid w:val="007C1401"/>
    <w:rsid w:val="007C4305"/>
    <w:rsid w:val="007D2015"/>
    <w:rsid w:val="007D2AE3"/>
    <w:rsid w:val="007E54E3"/>
    <w:rsid w:val="00800998"/>
    <w:rsid w:val="00800A54"/>
    <w:rsid w:val="00802E26"/>
    <w:rsid w:val="00826EAD"/>
    <w:rsid w:val="008427CB"/>
    <w:rsid w:val="00891B94"/>
    <w:rsid w:val="008C4FD1"/>
    <w:rsid w:val="008D4C96"/>
    <w:rsid w:val="008E083A"/>
    <w:rsid w:val="008E4085"/>
    <w:rsid w:val="008F2971"/>
    <w:rsid w:val="00905775"/>
    <w:rsid w:val="009223E0"/>
    <w:rsid w:val="00932BAF"/>
    <w:rsid w:val="00940E66"/>
    <w:rsid w:val="00953E0D"/>
    <w:rsid w:val="00965461"/>
    <w:rsid w:val="00971C9F"/>
    <w:rsid w:val="009853ED"/>
    <w:rsid w:val="009877D7"/>
    <w:rsid w:val="009A680D"/>
    <w:rsid w:val="009C4314"/>
    <w:rsid w:val="009F53AA"/>
    <w:rsid w:val="00A20F83"/>
    <w:rsid w:val="00A33186"/>
    <w:rsid w:val="00A35597"/>
    <w:rsid w:val="00A637A6"/>
    <w:rsid w:val="00A72F1A"/>
    <w:rsid w:val="00A753CA"/>
    <w:rsid w:val="00AB2678"/>
    <w:rsid w:val="00AC3FA8"/>
    <w:rsid w:val="00AD05EC"/>
    <w:rsid w:val="00B10D9F"/>
    <w:rsid w:val="00B13DF5"/>
    <w:rsid w:val="00B14245"/>
    <w:rsid w:val="00B16C8B"/>
    <w:rsid w:val="00B32827"/>
    <w:rsid w:val="00B56668"/>
    <w:rsid w:val="00B64D2E"/>
    <w:rsid w:val="00B70461"/>
    <w:rsid w:val="00B84A91"/>
    <w:rsid w:val="00B87F72"/>
    <w:rsid w:val="00B9403F"/>
    <w:rsid w:val="00BA6479"/>
    <w:rsid w:val="00BB1A93"/>
    <w:rsid w:val="00BC79C6"/>
    <w:rsid w:val="00BD0095"/>
    <w:rsid w:val="00BE742A"/>
    <w:rsid w:val="00BF3EF7"/>
    <w:rsid w:val="00C05DDE"/>
    <w:rsid w:val="00C0747F"/>
    <w:rsid w:val="00C15582"/>
    <w:rsid w:val="00C3196D"/>
    <w:rsid w:val="00C35BA0"/>
    <w:rsid w:val="00C377B5"/>
    <w:rsid w:val="00C40121"/>
    <w:rsid w:val="00C43CC0"/>
    <w:rsid w:val="00C455AE"/>
    <w:rsid w:val="00C45D8D"/>
    <w:rsid w:val="00C74D95"/>
    <w:rsid w:val="00C80947"/>
    <w:rsid w:val="00C90C17"/>
    <w:rsid w:val="00CA3B39"/>
    <w:rsid w:val="00CB42BD"/>
    <w:rsid w:val="00CC03E6"/>
    <w:rsid w:val="00CE4CFA"/>
    <w:rsid w:val="00CE6179"/>
    <w:rsid w:val="00D03229"/>
    <w:rsid w:val="00D10C8D"/>
    <w:rsid w:val="00D11AFC"/>
    <w:rsid w:val="00D172F6"/>
    <w:rsid w:val="00D26517"/>
    <w:rsid w:val="00D34A52"/>
    <w:rsid w:val="00D557F1"/>
    <w:rsid w:val="00D724A8"/>
    <w:rsid w:val="00D72957"/>
    <w:rsid w:val="00DB1432"/>
    <w:rsid w:val="00DB4E21"/>
    <w:rsid w:val="00DC0C81"/>
    <w:rsid w:val="00DC25C4"/>
    <w:rsid w:val="00DC29AB"/>
    <w:rsid w:val="00DD1FA5"/>
    <w:rsid w:val="00DD4587"/>
    <w:rsid w:val="00DE15D4"/>
    <w:rsid w:val="00DE513A"/>
    <w:rsid w:val="00DF219E"/>
    <w:rsid w:val="00DF5B1F"/>
    <w:rsid w:val="00E04873"/>
    <w:rsid w:val="00E21658"/>
    <w:rsid w:val="00E238FD"/>
    <w:rsid w:val="00E30BEA"/>
    <w:rsid w:val="00E65BB3"/>
    <w:rsid w:val="00E82B11"/>
    <w:rsid w:val="00E9241A"/>
    <w:rsid w:val="00E96E7F"/>
    <w:rsid w:val="00EA189C"/>
    <w:rsid w:val="00EA2D75"/>
    <w:rsid w:val="00EA38CF"/>
    <w:rsid w:val="00EE5D1B"/>
    <w:rsid w:val="00F054C2"/>
    <w:rsid w:val="00F07634"/>
    <w:rsid w:val="00F27FC4"/>
    <w:rsid w:val="00F3250B"/>
    <w:rsid w:val="00F35732"/>
    <w:rsid w:val="00F426A6"/>
    <w:rsid w:val="00F902F8"/>
    <w:rsid w:val="00FB0E4F"/>
    <w:rsid w:val="00FC3FC9"/>
    <w:rsid w:val="00FD1EAA"/>
    <w:rsid w:val="00FD534D"/>
    <w:rsid w:val="00FF17EF"/>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JKIPPOLA</dc:creator>
  <cp:lastModifiedBy>Lynne Sheldon</cp:lastModifiedBy>
  <cp:revision>3</cp:revision>
  <cp:lastPrinted>2022-06-07T12:37:00Z</cp:lastPrinted>
  <dcterms:created xsi:type="dcterms:W3CDTF">2022-11-18T16:45:00Z</dcterms:created>
  <dcterms:modified xsi:type="dcterms:W3CDTF">2022-11-18T16:57:00Z</dcterms:modified>
</cp:coreProperties>
</file>